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D4C22" w14:textId="77777777" w:rsidR="0065429C" w:rsidRPr="006416CA" w:rsidRDefault="0065429C" w:rsidP="0065429C">
      <w:pPr>
        <w:spacing w:after="200" w:line="276" w:lineRule="auto"/>
        <w:jc w:val="center"/>
        <w:rPr>
          <w:rFonts w:eastAsia="Calibri"/>
          <w:b/>
          <w:szCs w:val="22"/>
        </w:rPr>
      </w:pPr>
      <w:r w:rsidRPr="006416CA">
        <w:rPr>
          <w:rFonts w:eastAsia="Calibri"/>
          <w:b/>
          <w:szCs w:val="22"/>
        </w:rPr>
        <w:t>Universidad de Ciencias Médicas de La Habana</w:t>
      </w:r>
    </w:p>
    <w:p w14:paraId="4BEE8BB8" w14:textId="77777777" w:rsidR="0065429C" w:rsidRPr="006416CA" w:rsidRDefault="0065429C" w:rsidP="0065429C">
      <w:pPr>
        <w:spacing w:after="200" w:line="276" w:lineRule="auto"/>
        <w:jc w:val="center"/>
        <w:rPr>
          <w:rFonts w:eastAsia="Calibri"/>
          <w:b/>
          <w:szCs w:val="22"/>
        </w:rPr>
      </w:pPr>
      <w:r w:rsidRPr="006416CA">
        <w:rPr>
          <w:rFonts w:eastAsia="Calibri"/>
          <w:b/>
          <w:szCs w:val="22"/>
        </w:rPr>
        <w:t>Facultad Salvador Allende</w:t>
      </w:r>
    </w:p>
    <w:p w14:paraId="1972E3BE" w14:textId="77777777" w:rsidR="0065429C" w:rsidRPr="006416CA" w:rsidRDefault="0065429C" w:rsidP="0065429C">
      <w:pPr>
        <w:spacing w:after="200" w:line="276" w:lineRule="auto"/>
        <w:jc w:val="center"/>
        <w:rPr>
          <w:rFonts w:eastAsia="Calibri"/>
          <w:b/>
          <w:szCs w:val="22"/>
        </w:rPr>
      </w:pPr>
      <w:r w:rsidRPr="006416CA">
        <w:rPr>
          <w:rFonts w:eastAsia="Calibri"/>
          <w:b/>
          <w:szCs w:val="22"/>
        </w:rPr>
        <w:t>Instituto Nacional de Angiología y Cirugía Vascular</w:t>
      </w:r>
    </w:p>
    <w:p w14:paraId="6797B7F4" w14:textId="77777777" w:rsidR="0065429C" w:rsidRPr="006416CA" w:rsidRDefault="0065429C" w:rsidP="0065429C">
      <w:pPr>
        <w:spacing w:after="160" w:line="259" w:lineRule="auto"/>
        <w:jc w:val="left"/>
        <w:rPr>
          <w:rFonts w:ascii="Calibri" w:eastAsia="Calibri" w:hAnsi="Calibri" w:cs="Times New Roman"/>
          <w:sz w:val="22"/>
          <w:szCs w:val="22"/>
        </w:rPr>
      </w:pPr>
      <w:r w:rsidRPr="006416CA">
        <w:rPr>
          <w:rFonts w:ascii="Calibri" w:eastAsia="Calibri" w:hAnsi="Calibri" w:cs="Times New Roman"/>
          <w:noProof/>
          <w:sz w:val="22"/>
          <w:szCs w:val="22"/>
          <w:lang w:val="es-ES" w:eastAsia="es-ES"/>
        </w:rPr>
        <w:drawing>
          <wp:anchor distT="0" distB="0" distL="114300" distR="114300" simplePos="0" relativeHeight="251660288" behindDoc="0" locked="0" layoutInCell="1" allowOverlap="1" wp14:anchorId="2D67E22C" wp14:editId="4266F435">
            <wp:simplePos x="0" y="0"/>
            <wp:positionH relativeFrom="column">
              <wp:posOffset>2348865</wp:posOffset>
            </wp:positionH>
            <wp:positionV relativeFrom="paragraph">
              <wp:posOffset>67310</wp:posOffset>
            </wp:positionV>
            <wp:extent cx="838200" cy="381000"/>
            <wp:effectExtent l="19050" t="0" r="0" b="0"/>
            <wp:wrapThrough wrapText="bothSides">
              <wp:wrapPolygon edited="0">
                <wp:start x="-491" y="0"/>
                <wp:lineTo x="-491" y="20520"/>
                <wp:lineTo x="21600" y="20520"/>
                <wp:lineTo x="21600" y="0"/>
                <wp:lineTo x="-491" y="0"/>
              </wp:wrapPolygon>
            </wp:wrapThrough>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381000"/>
                    </a:xfrm>
                    <a:prstGeom prst="rect">
                      <a:avLst/>
                    </a:prstGeom>
                    <a:noFill/>
                    <a:ln>
                      <a:noFill/>
                    </a:ln>
                  </pic:spPr>
                </pic:pic>
              </a:graphicData>
            </a:graphic>
          </wp:anchor>
        </w:drawing>
      </w:r>
    </w:p>
    <w:p w14:paraId="4278F3DE" w14:textId="77777777" w:rsidR="0065429C" w:rsidRPr="006416CA" w:rsidRDefault="0065429C" w:rsidP="0065429C">
      <w:pPr>
        <w:spacing w:after="160" w:line="259" w:lineRule="auto"/>
        <w:jc w:val="left"/>
        <w:rPr>
          <w:rFonts w:ascii="Calibri" w:eastAsia="Calibri" w:hAnsi="Calibri" w:cs="Times New Roman"/>
          <w:sz w:val="22"/>
          <w:szCs w:val="22"/>
        </w:rPr>
      </w:pPr>
    </w:p>
    <w:p w14:paraId="35305887" w14:textId="77777777" w:rsidR="0065429C" w:rsidRPr="006416CA" w:rsidRDefault="0065429C" w:rsidP="0065429C">
      <w:pPr>
        <w:tabs>
          <w:tab w:val="left" w:pos="3933"/>
        </w:tabs>
        <w:spacing w:after="160" w:line="259" w:lineRule="auto"/>
        <w:jc w:val="center"/>
        <w:rPr>
          <w:rFonts w:eastAsia="Calibri"/>
          <w:b/>
          <w:sz w:val="40"/>
          <w:szCs w:val="40"/>
        </w:rPr>
      </w:pPr>
    </w:p>
    <w:p w14:paraId="1AC0F475" w14:textId="77777777" w:rsidR="0065429C" w:rsidRPr="006416CA" w:rsidRDefault="0065429C" w:rsidP="0065429C">
      <w:pPr>
        <w:tabs>
          <w:tab w:val="left" w:pos="3933"/>
        </w:tabs>
        <w:spacing w:after="160" w:line="259" w:lineRule="auto"/>
        <w:jc w:val="center"/>
        <w:rPr>
          <w:rFonts w:eastAsia="Calibri"/>
          <w:b/>
          <w:sz w:val="40"/>
          <w:szCs w:val="40"/>
        </w:rPr>
      </w:pPr>
      <w:r w:rsidRPr="006416CA">
        <w:rPr>
          <w:rFonts w:eastAsia="Calibri"/>
          <w:b/>
          <w:sz w:val="40"/>
          <w:szCs w:val="40"/>
        </w:rPr>
        <w:t>Título:</w:t>
      </w:r>
    </w:p>
    <w:p w14:paraId="776EF5EE" w14:textId="2B6D2639" w:rsidR="0065429C" w:rsidRPr="006416CA" w:rsidRDefault="0065429C" w:rsidP="0065429C">
      <w:pPr>
        <w:tabs>
          <w:tab w:val="left" w:pos="3933"/>
        </w:tabs>
        <w:spacing w:after="160" w:line="360" w:lineRule="auto"/>
        <w:jc w:val="center"/>
        <w:rPr>
          <w:rFonts w:eastAsia="Calibri"/>
          <w:b/>
          <w:sz w:val="40"/>
          <w:szCs w:val="40"/>
        </w:rPr>
      </w:pPr>
      <w:bookmarkStart w:id="0" w:name="_Hlk178223683"/>
      <w:r w:rsidRPr="006416CA">
        <w:rPr>
          <w:rFonts w:eastAsia="Calibri"/>
          <w:b/>
          <w:sz w:val="40"/>
          <w:szCs w:val="40"/>
        </w:rPr>
        <w:t>´´</w:t>
      </w:r>
      <w:bookmarkStart w:id="1" w:name="_Hlk178224192"/>
      <w:bookmarkEnd w:id="0"/>
      <w:r w:rsidRPr="006416CA">
        <w:rPr>
          <w:rFonts w:eastAsia="Calibri"/>
          <w:b/>
          <w:sz w:val="40"/>
          <w:szCs w:val="40"/>
        </w:rPr>
        <w:t>Prevalencia y factores asociados a la neuropatía periférica en pacientes diabéticos</w:t>
      </w:r>
      <w:r>
        <w:rPr>
          <w:rFonts w:eastAsia="Calibri"/>
          <w:b/>
          <w:sz w:val="40"/>
          <w:szCs w:val="40"/>
        </w:rPr>
        <w:t xml:space="preserve"> en </w:t>
      </w:r>
      <w:r w:rsidR="008F5B1A">
        <w:rPr>
          <w:rFonts w:eastAsia="Calibri"/>
          <w:b/>
          <w:sz w:val="40"/>
          <w:szCs w:val="40"/>
        </w:rPr>
        <w:t>atención primaria de salud</w:t>
      </w:r>
      <w:bookmarkEnd w:id="1"/>
      <w:r w:rsidR="008F5B1A" w:rsidRPr="008F5B1A">
        <w:rPr>
          <w:rFonts w:eastAsia="Calibri"/>
          <w:b/>
          <w:sz w:val="40"/>
          <w:szCs w:val="40"/>
        </w:rPr>
        <w:t>´´</w:t>
      </w:r>
      <w:r w:rsidR="008F5B1A">
        <w:rPr>
          <w:rFonts w:eastAsia="Calibri"/>
          <w:b/>
          <w:sz w:val="40"/>
          <w:szCs w:val="40"/>
        </w:rPr>
        <w:t xml:space="preserve"> </w:t>
      </w:r>
    </w:p>
    <w:p w14:paraId="76DDABF6" w14:textId="77777777" w:rsidR="0065429C" w:rsidRDefault="0065429C" w:rsidP="0065429C"/>
    <w:p w14:paraId="311AE9FD" w14:textId="77777777" w:rsidR="0065429C" w:rsidRPr="006416CA" w:rsidRDefault="0065429C" w:rsidP="0065429C">
      <w:pPr>
        <w:tabs>
          <w:tab w:val="left" w:pos="3933"/>
        </w:tabs>
        <w:spacing w:line="360" w:lineRule="auto"/>
        <w:jc w:val="center"/>
        <w:rPr>
          <w:rFonts w:eastAsia="Calibri"/>
          <w:b/>
        </w:rPr>
      </w:pPr>
      <w:r w:rsidRPr="006416CA">
        <w:rPr>
          <w:rFonts w:eastAsia="Calibri"/>
          <w:b/>
        </w:rPr>
        <w:t>Autor:</w:t>
      </w:r>
    </w:p>
    <w:p w14:paraId="708F5EDB" w14:textId="77777777" w:rsidR="0065429C" w:rsidRPr="006416CA" w:rsidRDefault="0065429C" w:rsidP="0065429C">
      <w:pPr>
        <w:tabs>
          <w:tab w:val="left" w:pos="3933"/>
        </w:tabs>
        <w:spacing w:line="360" w:lineRule="auto"/>
        <w:jc w:val="center"/>
        <w:rPr>
          <w:rFonts w:eastAsia="Calibri"/>
        </w:rPr>
      </w:pPr>
      <w:r w:rsidRPr="006416CA">
        <w:rPr>
          <w:rFonts w:eastAsia="Calibri"/>
        </w:rPr>
        <w:t xml:space="preserve">Dr. </w:t>
      </w:r>
      <w:r>
        <w:rPr>
          <w:rFonts w:eastAsia="Calibri"/>
        </w:rPr>
        <w:t xml:space="preserve">Hansel González Alvarez  </w:t>
      </w:r>
    </w:p>
    <w:p w14:paraId="4736F07E" w14:textId="77777777" w:rsidR="0065429C" w:rsidRPr="006416CA" w:rsidRDefault="0065429C" w:rsidP="0065429C">
      <w:pPr>
        <w:tabs>
          <w:tab w:val="left" w:pos="3933"/>
        </w:tabs>
        <w:spacing w:line="360" w:lineRule="auto"/>
        <w:jc w:val="center"/>
        <w:rPr>
          <w:rFonts w:eastAsia="Calibri"/>
        </w:rPr>
      </w:pPr>
      <w:r w:rsidRPr="006416CA">
        <w:rPr>
          <w:rFonts w:eastAsia="Calibri"/>
        </w:rPr>
        <w:t>Médico Residente de Segundo año en la Especialidad de Angiología y Cirugía Vascular.</w:t>
      </w:r>
    </w:p>
    <w:p w14:paraId="21B4F235" w14:textId="77777777" w:rsidR="0065429C" w:rsidRDefault="0065429C" w:rsidP="0065429C"/>
    <w:p w14:paraId="35BCAC54" w14:textId="77777777" w:rsidR="0065429C" w:rsidRPr="00EC33E0" w:rsidRDefault="0065429C" w:rsidP="0065429C">
      <w:pPr>
        <w:tabs>
          <w:tab w:val="left" w:pos="3933"/>
        </w:tabs>
        <w:spacing w:line="360" w:lineRule="auto"/>
        <w:jc w:val="center"/>
        <w:rPr>
          <w:rFonts w:eastAsia="Calibri"/>
          <w:b/>
          <w:lang w:val="en-US"/>
        </w:rPr>
      </w:pPr>
      <w:r w:rsidRPr="00EC33E0">
        <w:rPr>
          <w:rFonts w:eastAsia="Calibri"/>
          <w:b/>
          <w:lang w:val="en-US"/>
        </w:rPr>
        <w:t>Tutor:</w:t>
      </w:r>
    </w:p>
    <w:p w14:paraId="222BDA86" w14:textId="77777777" w:rsidR="0065429C" w:rsidRPr="0043049E" w:rsidRDefault="0065429C" w:rsidP="0065429C">
      <w:pPr>
        <w:spacing w:after="160" w:line="259" w:lineRule="auto"/>
        <w:jc w:val="center"/>
        <w:rPr>
          <w:rFonts w:eastAsia="Calibri"/>
          <w:lang w:val="en-US"/>
        </w:rPr>
      </w:pPr>
      <w:r w:rsidRPr="0043049E">
        <w:rPr>
          <w:rFonts w:eastAsia="Calibri"/>
          <w:lang w:val="en-US"/>
        </w:rPr>
        <w:t>Dr. William O. Savigne Gutiérrez</w:t>
      </w:r>
    </w:p>
    <w:p w14:paraId="076B0F84" w14:textId="77777777" w:rsidR="0065429C" w:rsidRDefault="0065429C" w:rsidP="0065429C">
      <w:pPr>
        <w:jc w:val="center"/>
        <w:rPr>
          <w:rFonts w:eastAsia="Calibri"/>
        </w:rPr>
      </w:pPr>
      <w:r w:rsidRPr="006416CA">
        <w:rPr>
          <w:rFonts w:eastAsia="Calibri"/>
        </w:rPr>
        <w:t>Especialista de Segundo grado en Angiología y Cirugía Vascular. Profesor e Investigador Auxiliar</w:t>
      </w:r>
    </w:p>
    <w:p w14:paraId="313EDD59" w14:textId="77777777" w:rsidR="0065429C" w:rsidRPr="006416CA" w:rsidRDefault="0065429C" w:rsidP="0065429C">
      <w:pPr>
        <w:spacing w:line="276" w:lineRule="auto"/>
        <w:jc w:val="center"/>
        <w:rPr>
          <w:rFonts w:eastAsia="Calibri"/>
        </w:rPr>
      </w:pPr>
      <w:r w:rsidRPr="006416CA">
        <w:rPr>
          <w:rFonts w:eastAsia="Calibri"/>
          <w:b/>
        </w:rPr>
        <w:t>Asesor</w:t>
      </w:r>
      <w:r w:rsidRPr="006416CA">
        <w:rPr>
          <w:rFonts w:eastAsia="Calibri"/>
        </w:rPr>
        <w:t xml:space="preserve">: </w:t>
      </w:r>
    </w:p>
    <w:p w14:paraId="53BE611E" w14:textId="77777777" w:rsidR="0065429C" w:rsidRPr="006416CA" w:rsidRDefault="0065429C" w:rsidP="0065429C">
      <w:pPr>
        <w:spacing w:line="360" w:lineRule="auto"/>
        <w:jc w:val="center"/>
        <w:rPr>
          <w:rFonts w:eastAsia="Calibri"/>
        </w:rPr>
      </w:pPr>
      <w:r w:rsidRPr="006416CA">
        <w:rPr>
          <w:rFonts w:eastAsia="Calibri"/>
        </w:rPr>
        <w:t>Dr. Alfredo Aldama Figueroa.</w:t>
      </w:r>
    </w:p>
    <w:p w14:paraId="49A0A82B" w14:textId="77777777" w:rsidR="0065429C" w:rsidRPr="006416CA" w:rsidRDefault="0065429C" w:rsidP="0065429C">
      <w:pPr>
        <w:spacing w:line="360" w:lineRule="auto"/>
        <w:jc w:val="center"/>
        <w:rPr>
          <w:rFonts w:eastAsia="Calibri"/>
        </w:rPr>
      </w:pPr>
      <w:r w:rsidRPr="006416CA">
        <w:rPr>
          <w:rFonts w:eastAsia="Calibri"/>
        </w:rPr>
        <w:t>Doctor en Ciencias Médicas. Especialista de 2do Grado en Fisiología Normal y Patológica. Investigador Titular.</w:t>
      </w:r>
    </w:p>
    <w:p w14:paraId="33606585" w14:textId="77777777" w:rsidR="0065429C" w:rsidRPr="006416CA" w:rsidRDefault="0065429C" w:rsidP="0065429C">
      <w:pPr>
        <w:spacing w:line="276" w:lineRule="auto"/>
        <w:jc w:val="left"/>
        <w:rPr>
          <w:rFonts w:eastAsia="Calibri"/>
        </w:rPr>
      </w:pPr>
    </w:p>
    <w:p w14:paraId="263E0BDD" w14:textId="7DBF16D9" w:rsidR="00B8295B" w:rsidRPr="00470588" w:rsidRDefault="0065429C">
      <w:r>
        <w:rPr>
          <w:rFonts w:eastAsia="Calibri"/>
        </w:rPr>
        <w:t xml:space="preserve">                                                              2024</w:t>
      </w:r>
    </w:p>
    <w:p w14:paraId="2213110A" w14:textId="77777777" w:rsidR="00586051" w:rsidRDefault="00586051">
      <w:pPr>
        <w:rPr>
          <w:b/>
          <w:bCs/>
        </w:rPr>
      </w:pPr>
    </w:p>
    <w:p w14:paraId="0FA134B7" w14:textId="77777777" w:rsidR="00586051" w:rsidRDefault="00586051">
      <w:pPr>
        <w:rPr>
          <w:b/>
          <w:bCs/>
        </w:rPr>
      </w:pPr>
    </w:p>
    <w:p w14:paraId="5BF23D7E" w14:textId="508168E0" w:rsidR="00AE1D56" w:rsidRDefault="00AE1D56">
      <w:pPr>
        <w:rPr>
          <w:b/>
          <w:bCs/>
        </w:rPr>
      </w:pPr>
      <w:r w:rsidRPr="00AE1D56">
        <w:rPr>
          <w:b/>
          <w:bCs/>
        </w:rPr>
        <w:lastRenderedPageBreak/>
        <w:t>DEDICATORIA</w:t>
      </w:r>
    </w:p>
    <w:p w14:paraId="3AEF5B6F" w14:textId="77777777" w:rsidR="00AE1D56" w:rsidRDefault="00AE1D56">
      <w:pPr>
        <w:rPr>
          <w:b/>
          <w:bCs/>
        </w:rPr>
      </w:pPr>
    </w:p>
    <w:p w14:paraId="36AA97CB" w14:textId="77777777" w:rsidR="00AE1D56" w:rsidRDefault="00AE1D56">
      <w:pPr>
        <w:rPr>
          <w:b/>
          <w:bCs/>
        </w:rPr>
      </w:pPr>
    </w:p>
    <w:p w14:paraId="69EFC9E8" w14:textId="77777777" w:rsidR="00AE1D56" w:rsidRDefault="00AE1D56">
      <w:pPr>
        <w:rPr>
          <w:b/>
          <w:bCs/>
        </w:rPr>
      </w:pPr>
    </w:p>
    <w:p w14:paraId="3C7AFFE5" w14:textId="77777777" w:rsidR="00AE1D56" w:rsidRDefault="00AE1D56">
      <w:pPr>
        <w:rPr>
          <w:b/>
          <w:bCs/>
        </w:rPr>
      </w:pPr>
    </w:p>
    <w:p w14:paraId="05F22B65" w14:textId="77777777" w:rsidR="00AE1D56" w:rsidRDefault="00AE1D56">
      <w:pPr>
        <w:rPr>
          <w:b/>
          <w:bCs/>
        </w:rPr>
      </w:pPr>
    </w:p>
    <w:p w14:paraId="1F91C766" w14:textId="77777777" w:rsidR="00AE1D56" w:rsidRDefault="00AE1D56">
      <w:pPr>
        <w:rPr>
          <w:b/>
          <w:bCs/>
        </w:rPr>
      </w:pPr>
    </w:p>
    <w:p w14:paraId="01559894" w14:textId="77777777" w:rsidR="00AE1D56" w:rsidRDefault="00AE1D56">
      <w:pPr>
        <w:rPr>
          <w:b/>
          <w:bCs/>
        </w:rPr>
      </w:pPr>
    </w:p>
    <w:p w14:paraId="48A2BC0F" w14:textId="77777777" w:rsidR="00AE1D56" w:rsidRDefault="00AE1D56">
      <w:pPr>
        <w:rPr>
          <w:b/>
          <w:bCs/>
        </w:rPr>
      </w:pPr>
    </w:p>
    <w:p w14:paraId="1FA4A4FE" w14:textId="77777777" w:rsidR="00AE1D56" w:rsidRDefault="00AE1D56">
      <w:pPr>
        <w:rPr>
          <w:b/>
          <w:bCs/>
        </w:rPr>
      </w:pPr>
    </w:p>
    <w:p w14:paraId="4C1DD649" w14:textId="77777777" w:rsidR="00AE1D56" w:rsidRDefault="00AE1D56">
      <w:pPr>
        <w:rPr>
          <w:b/>
          <w:bCs/>
        </w:rPr>
      </w:pPr>
    </w:p>
    <w:p w14:paraId="6F5CA0A2" w14:textId="77777777" w:rsidR="00AE1D56" w:rsidRDefault="00AE1D56">
      <w:pPr>
        <w:rPr>
          <w:b/>
          <w:bCs/>
        </w:rPr>
      </w:pPr>
    </w:p>
    <w:p w14:paraId="31AFB940" w14:textId="77777777" w:rsidR="00AE1D56" w:rsidRDefault="00AE1D56">
      <w:pPr>
        <w:rPr>
          <w:b/>
          <w:bCs/>
        </w:rPr>
      </w:pPr>
    </w:p>
    <w:p w14:paraId="0BE6B967" w14:textId="77777777" w:rsidR="00AE1D56" w:rsidRDefault="00AE1D56">
      <w:pPr>
        <w:rPr>
          <w:b/>
          <w:bCs/>
        </w:rPr>
      </w:pPr>
    </w:p>
    <w:p w14:paraId="57D3967E" w14:textId="77777777" w:rsidR="00AE1D56" w:rsidRDefault="00AE1D56">
      <w:pPr>
        <w:rPr>
          <w:b/>
          <w:bCs/>
        </w:rPr>
      </w:pPr>
    </w:p>
    <w:p w14:paraId="3F85B6A1" w14:textId="77777777" w:rsidR="00AE1D56" w:rsidRDefault="00AE1D56">
      <w:pPr>
        <w:rPr>
          <w:b/>
          <w:bCs/>
        </w:rPr>
      </w:pPr>
    </w:p>
    <w:p w14:paraId="584E458C" w14:textId="77777777" w:rsidR="00AE1D56" w:rsidRDefault="00AE1D56">
      <w:pPr>
        <w:rPr>
          <w:b/>
          <w:bCs/>
        </w:rPr>
      </w:pPr>
    </w:p>
    <w:p w14:paraId="147FDF03" w14:textId="77777777" w:rsidR="00AE1D56" w:rsidRDefault="00AE1D56">
      <w:pPr>
        <w:rPr>
          <w:b/>
          <w:bCs/>
        </w:rPr>
      </w:pPr>
    </w:p>
    <w:p w14:paraId="47BE017F" w14:textId="77777777" w:rsidR="00AE1D56" w:rsidRDefault="00AE1D56">
      <w:pPr>
        <w:rPr>
          <w:b/>
          <w:bCs/>
        </w:rPr>
      </w:pPr>
    </w:p>
    <w:p w14:paraId="0C7D3E76" w14:textId="77777777" w:rsidR="00AE1D56" w:rsidRDefault="00AE1D56">
      <w:pPr>
        <w:rPr>
          <w:b/>
          <w:bCs/>
        </w:rPr>
      </w:pPr>
    </w:p>
    <w:p w14:paraId="7CE29F9F" w14:textId="77777777" w:rsidR="00AE1D56" w:rsidRDefault="00AE1D56">
      <w:pPr>
        <w:rPr>
          <w:b/>
          <w:bCs/>
        </w:rPr>
      </w:pPr>
    </w:p>
    <w:p w14:paraId="6EA642EC" w14:textId="77777777" w:rsidR="00AE1D56" w:rsidRDefault="00AE1D56">
      <w:pPr>
        <w:rPr>
          <w:b/>
          <w:bCs/>
        </w:rPr>
      </w:pPr>
    </w:p>
    <w:p w14:paraId="037EAA6C" w14:textId="77777777" w:rsidR="00AE1D56" w:rsidRDefault="00AE1D56">
      <w:pPr>
        <w:rPr>
          <w:b/>
          <w:bCs/>
        </w:rPr>
      </w:pPr>
    </w:p>
    <w:p w14:paraId="57A31AB8" w14:textId="77777777" w:rsidR="00AE1D56" w:rsidRDefault="00AE1D56">
      <w:pPr>
        <w:rPr>
          <w:b/>
          <w:bCs/>
        </w:rPr>
      </w:pPr>
    </w:p>
    <w:p w14:paraId="1705FDEC" w14:textId="77777777" w:rsidR="00AE1D56" w:rsidRDefault="00AE1D56">
      <w:pPr>
        <w:rPr>
          <w:b/>
          <w:bCs/>
        </w:rPr>
      </w:pPr>
    </w:p>
    <w:p w14:paraId="7DAA1BE9" w14:textId="77777777" w:rsidR="00AE1D56" w:rsidRDefault="00AE1D56">
      <w:pPr>
        <w:rPr>
          <w:b/>
          <w:bCs/>
        </w:rPr>
      </w:pPr>
      <w:r>
        <w:rPr>
          <w:b/>
          <w:bCs/>
        </w:rPr>
        <w:lastRenderedPageBreak/>
        <w:t>AGRADECIMIENTOS</w:t>
      </w:r>
    </w:p>
    <w:p w14:paraId="7A46143D" w14:textId="77777777" w:rsidR="00AE1D56" w:rsidRDefault="00AE1D56">
      <w:pPr>
        <w:rPr>
          <w:b/>
          <w:bCs/>
        </w:rPr>
      </w:pPr>
    </w:p>
    <w:p w14:paraId="6447CC0B" w14:textId="77777777" w:rsidR="00AE1D56" w:rsidRDefault="00AE1D56">
      <w:pPr>
        <w:rPr>
          <w:b/>
          <w:bCs/>
        </w:rPr>
      </w:pPr>
    </w:p>
    <w:p w14:paraId="0B205192" w14:textId="77777777" w:rsidR="00AE1D56" w:rsidRDefault="00AE1D56">
      <w:pPr>
        <w:rPr>
          <w:b/>
          <w:bCs/>
        </w:rPr>
      </w:pPr>
    </w:p>
    <w:p w14:paraId="1E200A49" w14:textId="77777777" w:rsidR="00AE1D56" w:rsidRDefault="00AE1D56">
      <w:pPr>
        <w:rPr>
          <w:b/>
          <w:bCs/>
        </w:rPr>
      </w:pPr>
    </w:p>
    <w:p w14:paraId="3B5C841A" w14:textId="77777777" w:rsidR="00AE1D56" w:rsidRDefault="00AE1D56">
      <w:pPr>
        <w:rPr>
          <w:b/>
          <w:bCs/>
        </w:rPr>
      </w:pPr>
    </w:p>
    <w:p w14:paraId="4E0132D5" w14:textId="77777777" w:rsidR="00AE1D56" w:rsidRDefault="00AE1D56">
      <w:pPr>
        <w:rPr>
          <w:b/>
          <w:bCs/>
        </w:rPr>
      </w:pPr>
    </w:p>
    <w:p w14:paraId="11C3E2BD" w14:textId="77777777" w:rsidR="00AE1D56" w:rsidRDefault="00AE1D56">
      <w:pPr>
        <w:rPr>
          <w:b/>
          <w:bCs/>
        </w:rPr>
      </w:pPr>
    </w:p>
    <w:p w14:paraId="3F9D63B7" w14:textId="77777777" w:rsidR="00AE1D56" w:rsidRDefault="00AE1D56">
      <w:pPr>
        <w:rPr>
          <w:b/>
          <w:bCs/>
        </w:rPr>
      </w:pPr>
    </w:p>
    <w:p w14:paraId="71AEE827" w14:textId="77777777" w:rsidR="00AE1D56" w:rsidRDefault="00AE1D56">
      <w:pPr>
        <w:rPr>
          <w:b/>
          <w:bCs/>
        </w:rPr>
      </w:pPr>
    </w:p>
    <w:p w14:paraId="36890650" w14:textId="77777777" w:rsidR="00AE1D56" w:rsidRDefault="00AE1D56">
      <w:pPr>
        <w:rPr>
          <w:b/>
          <w:bCs/>
        </w:rPr>
      </w:pPr>
    </w:p>
    <w:p w14:paraId="18DA39A2" w14:textId="77777777" w:rsidR="00AE1D56" w:rsidRDefault="00AE1D56">
      <w:pPr>
        <w:rPr>
          <w:b/>
          <w:bCs/>
        </w:rPr>
      </w:pPr>
    </w:p>
    <w:p w14:paraId="1F2EEBBA" w14:textId="77777777" w:rsidR="00AE1D56" w:rsidRDefault="00AE1D56">
      <w:pPr>
        <w:rPr>
          <w:b/>
          <w:bCs/>
        </w:rPr>
      </w:pPr>
    </w:p>
    <w:p w14:paraId="763242A7" w14:textId="77777777" w:rsidR="00AE1D56" w:rsidRDefault="00AE1D56">
      <w:pPr>
        <w:rPr>
          <w:b/>
          <w:bCs/>
        </w:rPr>
      </w:pPr>
    </w:p>
    <w:p w14:paraId="42BEE096" w14:textId="77777777" w:rsidR="00AE1D56" w:rsidRDefault="00AE1D56">
      <w:pPr>
        <w:rPr>
          <w:b/>
          <w:bCs/>
        </w:rPr>
      </w:pPr>
    </w:p>
    <w:p w14:paraId="25944153" w14:textId="77777777" w:rsidR="00AE1D56" w:rsidRDefault="00AE1D56">
      <w:pPr>
        <w:rPr>
          <w:b/>
          <w:bCs/>
        </w:rPr>
      </w:pPr>
    </w:p>
    <w:p w14:paraId="2377EB2E" w14:textId="77777777" w:rsidR="00AE1D56" w:rsidRDefault="00AE1D56">
      <w:pPr>
        <w:rPr>
          <w:b/>
          <w:bCs/>
        </w:rPr>
      </w:pPr>
    </w:p>
    <w:p w14:paraId="117CB1B2" w14:textId="77777777" w:rsidR="00AE1D56" w:rsidRDefault="00AE1D56">
      <w:pPr>
        <w:rPr>
          <w:b/>
          <w:bCs/>
        </w:rPr>
      </w:pPr>
    </w:p>
    <w:p w14:paraId="2D16A301" w14:textId="77777777" w:rsidR="00AE1D56" w:rsidRDefault="00AE1D56">
      <w:pPr>
        <w:rPr>
          <w:b/>
          <w:bCs/>
        </w:rPr>
      </w:pPr>
    </w:p>
    <w:p w14:paraId="15E22377" w14:textId="77777777" w:rsidR="00AE1D56" w:rsidRDefault="00AE1D56">
      <w:pPr>
        <w:rPr>
          <w:b/>
          <w:bCs/>
        </w:rPr>
      </w:pPr>
    </w:p>
    <w:p w14:paraId="3C161CF6" w14:textId="77777777" w:rsidR="00AE1D56" w:rsidRDefault="00AE1D56">
      <w:pPr>
        <w:rPr>
          <w:b/>
          <w:bCs/>
        </w:rPr>
      </w:pPr>
    </w:p>
    <w:p w14:paraId="41C934C1" w14:textId="77777777" w:rsidR="00AE1D56" w:rsidRDefault="00AE1D56">
      <w:pPr>
        <w:rPr>
          <w:b/>
          <w:bCs/>
        </w:rPr>
      </w:pPr>
    </w:p>
    <w:p w14:paraId="18911AA4" w14:textId="77777777" w:rsidR="0065429C" w:rsidRDefault="0065429C">
      <w:pPr>
        <w:rPr>
          <w:b/>
          <w:bCs/>
        </w:rPr>
      </w:pPr>
    </w:p>
    <w:p w14:paraId="29339BBF" w14:textId="77777777" w:rsidR="00AE1D56" w:rsidRDefault="00AE1D56">
      <w:pPr>
        <w:rPr>
          <w:b/>
          <w:bCs/>
        </w:rPr>
      </w:pPr>
    </w:p>
    <w:p w14:paraId="38D6AD54" w14:textId="77777777" w:rsidR="00AE1D56" w:rsidRDefault="00AE1D56">
      <w:pPr>
        <w:rPr>
          <w:b/>
          <w:bCs/>
        </w:rPr>
      </w:pPr>
    </w:p>
    <w:p w14:paraId="63F9705E" w14:textId="6B315F27" w:rsidR="00AE1D56" w:rsidRDefault="00AE1D56">
      <w:pPr>
        <w:rPr>
          <w:b/>
          <w:bCs/>
        </w:rPr>
      </w:pPr>
      <w:r>
        <w:rPr>
          <w:b/>
          <w:bCs/>
        </w:rPr>
        <w:lastRenderedPageBreak/>
        <w:t>INDICE</w:t>
      </w:r>
    </w:p>
    <w:sdt>
      <w:sdtPr>
        <w:rPr>
          <w:rFonts w:ascii="Arial" w:eastAsiaTheme="minorHAnsi" w:hAnsi="Arial" w:cs="Arial"/>
          <w:color w:val="auto"/>
          <w:sz w:val="24"/>
          <w:szCs w:val="24"/>
          <w:lang w:val="es-419"/>
        </w:rPr>
        <w:id w:val="626132493"/>
        <w:docPartObj>
          <w:docPartGallery w:val="Table of Contents"/>
          <w:docPartUnique/>
        </w:docPartObj>
      </w:sdtPr>
      <w:sdtEndPr>
        <w:rPr>
          <w:b/>
          <w:bCs/>
          <w:noProof/>
        </w:rPr>
      </w:sdtEndPr>
      <w:sdtContent>
        <w:p w14:paraId="53E2343D" w14:textId="34C2D580" w:rsidR="00AE1D56" w:rsidRDefault="00AE1D56">
          <w:pPr>
            <w:pStyle w:val="TOCHeading"/>
          </w:pPr>
        </w:p>
        <w:p w14:paraId="39D9C7A6" w14:textId="03A6D6E2" w:rsidR="0086165E" w:rsidRDefault="00AE1D56">
          <w:pPr>
            <w:pStyle w:val="TOC1"/>
            <w:tabs>
              <w:tab w:val="right" w:leader="dot" w:pos="8494"/>
            </w:tabs>
            <w:rPr>
              <w:rFonts w:asciiTheme="minorHAnsi" w:eastAsiaTheme="minorEastAsia" w:hAnsiTheme="minorHAnsi" w:cstheme="minorBidi"/>
              <w:noProof/>
              <w:kern w:val="2"/>
              <w:sz w:val="22"/>
              <w:szCs w:val="22"/>
              <w:lang w:val="es-CU" w:eastAsia="es-CU"/>
              <w14:ligatures w14:val="standardContextual"/>
            </w:rPr>
          </w:pPr>
          <w:r>
            <w:fldChar w:fldCharType="begin"/>
          </w:r>
          <w:r>
            <w:instrText xml:space="preserve"> TOC \o "1-3" \h \z \u </w:instrText>
          </w:r>
          <w:r>
            <w:fldChar w:fldCharType="separate"/>
          </w:r>
          <w:hyperlink w:anchor="_Toc178713977" w:history="1">
            <w:r w:rsidR="0086165E" w:rsidRPr="00331FB3">
              <w:rPr>
                <w:rStyle w:val="Hyperlink"/>
                <w:b/>
                <w:bCs/>
                <w:noProof/>
              </w:rPr>
              <w:t>INTRODUCCIÓN</w:t>
            </w:r>
            <w:r w:rsidR="0086165E">
              <w:rPr>
                <w:noProof/>
                <w:webHidden/>
              </w:rPr>
              <w:tab/>
            </w:r>
            <w:r w:rsidR="0086165E">
              <w:rPr>
                <w:noProof/>
                <w:webHidden/>
              </w:rPr>
              <w:fldChar w:fldCharType="begin"/>
            </w:r>
            <w:r w:rsidR="0086165E">
              <w:rPr>
                <w:noProof/>
                <w:webHidden/>
              </w:rPr>
              <w:instrText xml:space="preserve"> PAGEREF _Toc178713977 \h </w:instrText>
            </w:r>
            <w:r w:rsidR="0086165E">
              <w:rPr>
                <w:noProof/>
                <w:webHidden/>
              </w:rPr>
            </w:r>
            <w:r w:rsidR="0086165E">
              <w:rPr>
                <w:noProof/>
                <w:webHidden/>
              </w:rPr>
              <w:fldChar w:fldCharType="separate"/>
            </w:r>
            <w:r w:rsidR="0086165E">
              <w:rPr>
                <w:noProof/>
                <w:webHidden/>
              </w:rPr>
              <w:t>1</w:t>
            </w:r>
            <w:r w:rsidR="0086165E">
              <w:rPr>
                <w:noProof/>
                <w:webHidden/>
              </w:rPr>
              <w:fldChar w:fldCharType="end"/>
            </w:r>
          </w:hyperlink>
        </w:p>
        <w:p w14:paraId="72CD103B" w14:textId="7D2A771F" w:rsidR="0086165E" w:rsidRDefault="0086165E">
          <w:pPr>
            <w:pStyle w:val="TOC2"/>
            <w:tabs>
              <w:tab w:val="right" w:leader="dot" w:pos="8494"/>
            </w:tabs>
            <w:rPr>
              <w:rFonts w:asciiTheme="minorHAnsi" w:eastAsiaTheme="minorEastAsia" w:hAnsiTheme="minorHAnsi" w:cstheme="minorBidi"/>
              <w:noProof/>
              <w:kern w:val="2"/>
              <w:sz w:val="22"/>
              <w:szCs w:val="22"/>
              <w:lang w:val="es-CU" w:eastAsia="es-CU"/>
              <w14:ligatures w14:val="standardContextual"/>
            </w:rPr>
          </w:pPr>
          <w:hyperlink w:anchor="_Toc178713978" w:history="1">
            <w:r w:rsidRPr="00331FB3">
              <w:rPr>
                <w:rStyle w:val="Hyperlink"/>
                <w:b/>
                <w:bCs/>
                <w:noProof/>
              </w:rPr>
              <w:t>Justificación</w:t>
            </w:r>
            <w:r>
              <w:rPr>
                <w:noProof/>
                <w:webHidden/>
              </w:rPr>
              <w:tab/>
            </w:r>
            <w:r>
              <w:rPr>
                <w:noProof/>
                <w:webHidden/>
              </w:rPr>
              <w:fldChar w:fldCharType="begin"/>
            </w:r>
            <w:r>
              <w:rPr>
                <w:noProof/>
                <w:webHidden/>
              </w:rPr>
              <w:instrText xml:space="preserve"> PAGEREF _Toc178713978 \h </w:instrText>
            </w:r>
            <w:r>
              <w:rPr>
                <w:noProof/>
                <w:webHidden/>
              </w:rPr>
            </w:r>
            <w:r>
              <w:rPr>
                <w:noProof/>
                <w:webHidden/>
              </w:rPr>
              <w:fldChar w:fldCharType="separate"/>
            </w:r>
            <w:r>
              <w:rPr>
                <w:noProof/>
                <w:webHidden/>
              </w:rPr>
              <w:t>4</w:t>
            </w:r>
            <w:r>
              <w:rPr>
                <w:noProof/>
                <w:webHidden/>
              </w:rPr>
              <w:fldChar w:fldCharType="end"/>
            </w:r>
          </w:hyperlink>
        </w:p>
        <w:p w14:paraId="3FF49AF9" w14:textId="7AF03F5D" w:rsidR="0086165E" w:rsidRDefault="0086165E">
          <w:pPr>
            <w:pStyle w:val="TOC2"/>
            <w:tabs>
              <w:tab w:val="right" w:leader="dot" w:pos="8494"/>
            </w:tabs>
            <w:rPr>
              <w:rFonts w:asciiTheme="minorHAnsi" w:eastAsiaTheme="minorEastAsia" w:hAnsiTheme="minorHAnsi" w:cstheme="minorBidi"/>
              <w:noProof/>
              <w:kern w:val="2"/>
              <w:sz w:val="22"/>
              <w:szCs w:val="22"/>
              <w:lang w:val="es-CU" w:eastAsia="es-CU"/>
              <w14:ligatures w14:val="standardContextual"/>
            </w:rPr>
          </w:pPr>
          <w:hyperlink w:anchor="_Toc178713979" w:history="1">
            <w:r w:rsidRPr="00331FB3">
              <w:rPr>
                <w:rStyle w:val="Hyperlink"/>
                <w:b/>
                <w:bCs/>
                <w:noProof/>
              </w:rPr>
              <w:t>Planteamiento del problema</w:t>
            </w:r>
            <w:r>
              <w:rPr>
                <w:noProof/>
                <w:webHidden/>
              </w:rPr>
              <w:tab/>
            </w:r>
            <w:r>
              <w:rPr>
                <w:noProof/>
                <w:webHidden/>
              </w:rPr>
              <w:fldChar w:fldCharType="begin"/>
            </w:r>
            <w:r>
              <w:rPr>
                <w:noProof/>
                <w:webHidden/>
              </w:rPr>
              <w:instrText xml:space="preserve"> PAGEREF _Toc178713979 \h </w:instrText>
            </w:r>
            <w:r>
              <w:rPr>
                <w:noProof/>
                <w:webHidden/>
              </w:rPr>
            </w:r>
            <w:r>
              <w:rPr>
                <w:noProof/>
                <w:webHidden/>
              </w:rPr>
              <w:fldChar w:fldCharType="separate"/>
            </w:r>
            <w:r>
              <w:rPr>
                <w:noProof/>
                <w:webHidden/>
              </w:rPr>
              <w:t>5</w:t>
            </w:r>
            <w:r>
              <w:rPr>
                <w:noProof/>
                <w:webHidden/>
              </w:rPr>
              <w:fldChar w:fldCharType="end"/>
            </w:r>
          </w:hyperlink>
        </w:p>
        <w:p w14:paraId="25EA1FE5" w14:textId="58207823" w:rsidR="0086165E" w:rsidRDefault="0086165E">
          <w:pPr>
            <w:pStyle w:val="TOC2"/>
            <w:tabs>
              <w:tab w:val="right" w:leader="dot" w:pos="8494"/>
            </w:tabs>
            <w:rPr>
              <w:rFonts w:asciiTheme="minorHAnsi" w:eastAsiaTheme="minorEastAsia" w:hAnsiTheme="minorHAnsi" w:cstheme="minorBidi"/>
              <w:noProof/>
              <w:kern w:val="2"/>
              <w:sz w:val="22"/>
              <w:szCs w:val="22"/>
              <w:lang w:val="es-CU" w:eastAsia="es-CU"/>
              <w14:ligatures w14:val="standardContextual"/>
            </w:rPr>
          </w:pPr>
          <w:hyperlink w:anchor="_Toc178713980" w:history="1">
            <w:r w:rsidRPr="00331FB3">
              <w:rPr>
                <w:rStyle w:val="Hyperlink"/>
                <w:b/>
                <w:bCs/>
                <w:noProof/>
              </w:rPr>
              <w:t>Objetivos</w:t>
            </w:r>
            <w:r>
              <w:rPr>
                <w:noProof/>
                <w:webHidden/>
              </w:rPr>
              <w:tab/>
            </w:r>
            <w:r>
              <w:rPr>
                <w:noProof/>
                <w:webHidden/>
              </w:rPr>
              <w:fldChar w:fldCharType="begin"/>
            </w:r>
            <w:r>
              <w:rPr>
                <w:noProof/>
                <w:webHidden/>
              </w:rPr>
              <w:instrText xml:space="preserve"> PAGEREF _Toc178713980 \h </w:instrText>
            </w:r>
            <w:r>
              <w:rPr>
                <w:noProof/>
                <w:webHidden/>
              </w:rPr>
            </w:r>
            <w:r>
              <w:rPr>
                <w:noProof/>
                <w:webHidden/>
              </w:rPr>
              <w:fldChar w:fldCharType="separate"/>
            </w:r>
            <w:r>
              <w:rPr>
                <w:noProof/>
                <w:webHidden/>
              </w:rPr>
              <w:t>5</w:t>
            </w:r>
            <w:r>
              <w:rPr>
                <w:noProof/>
                <w:webHidden/>
              </w:rPr>
              <w:fldChar w:fldCharType="end"/>
            </w:r>
          </w:hyperlink>
        </w:p>
        <w:p w14:paraId="21D65B13" w14:textId="770ABDB0" w:rsidR="0086165E" w:rsidRDefault="0086165E">
          <w:pPr>
            <w:pStyle w:val="TOC1"/>
            <w:tabs>
              <w:tab w:val="right" w:leader="dot" w:pos="8494"/>
            </w:tabs>
            <w:rPr>
              <w:rFonts w:asciiTheme="minorHAnsi" w:eastAsiaTheme="minorEastAsia" w:hAnsiTheme="minorHAnsi" w:cstheme="minorBidi"/>
              <w:noProof/>
              <w:kern w:val="2"/>
              <w:sz w:val="22"/>
              <w:szCs w:val="22"/>
              <w:lang w:val="es-CU" w:eastAsia="es-CU"/>
              <w14:ligatures w14:val="standardContextual"/>
            </w:rPr>
          </w:pPr>
          <w:hyperlink w:anchor="_Toc178713981" w:history="1">
            <w:r w:rsidRPr="00331FB3">
              <w:rPr>
                <w:rStyle w:val="Hyperlink"/>
                <w:b/>
                <w:bCs/>
                <w:noProof/>
              </w:rPr>
              <w:t>MARCO TEÓRICO</w:t>
            </w:r>
            <w:r>
              <w:rPr>
                <w:noProof/>
                <w:webHidden/>
              </w:rPr>
              <w:tab/>
            </w:r>
            <w:r>
              <w:rPr>
                <w:noProof/>
                <w:webHidden/>
              </w:rPr>
              <w:fldChar w:fldCharType="begin"/>
            </w:r>
            <w:r>
              <w:rPr>
                <w:noProof/>
                <w:webHidden/>
              </w:rPr>
              <w:instrText xml:space="preserve"> PAGEREF _Toc178713981 \h </w:instrText>
            </w:r>
            <w:r>
              <w:rPr>
                <w:noProof/>
                <w:webHidden/>
              </w:rPr>
            </w:r>
            <w:r>
              <w:rPr>
                <w:noProof/>
                <w:webHidden/>
              </w:rPr>
              <w:fldChar w:fldCharType="separate"/>
            </w:r>
            <w:r>
              <w:rPr>
                <w:noProof/>
                <w:webHidden/>
              </w:rPr>
              <w:t>6</w:t>
            </w:r>
            <w:r>
              <w:rPr>
                <w:noProof/>
                <w:webHidden/>
              </w:rPr>
              <w:fldChar w:fldCharType="end"/>
            </w:r>
          </w:hyperlink>
        </w:p>
        <w:p w14:paraId="3770BB4C" w14:textId="61D13129" w:rsidR="0086165E" w:rsidRDefault="0086165E">
          <w:pPr>
            <w:pStyle w:val="TOC1"/>
            <w:tabs>
              <w:tab w:val="right" w:leader="dot" w:pos="8494"/>
            </w:tabs>
            <w:rPr>
              <w:rFonts w:asciiTheme="minorHAnsi" w:eastAsiaTheme="minorEastAsia" w:hAnsiTheme="minorHAnsi" w:cstheme="minorBidi"/>
              <w:noProof/>
              <w:kern w:val="2"/>
              <w:sz w:val="22"/>
              <w:szCs w:val="22"/>
              <w:lang w:val="es-CU" w:eastAsia="es-CU"/>
              <w14:ligatures w14:val="standardContextual"/>
            </w:rPr>
          </w:pPr>
          <w:hyperlink w:anchor="_Toc178713982" w:history="1">
            <w:r w:rsidRPr="00331FB3">
              <w:rPr>
                <w:rStyle w:val="Hyperlink"/>
                <w:b/>
                <w:bCs/>
                <w:noProof/>
              </w:rPr>
              <w:t>METODOLOGÍA</w:t>
            </w:r>
            <w:r>
              <w:rPr>
                <w:noProof/>
                <w:webHidden/>
              </w:rPr>
              <w:tab/>
            </w:r>
            <w:r>
              <w:rPr>
                <w:noProof/>
                <w:webHidden/>
              </w:rPr>
              <w:fldChar w:fldCharType="begin"/>
            </w:r>
            <w:r>
              <w:rPr>
                <w:noProof/>
                <w:webHidden/>
              </w:rPr>
              <w:instrText xml:space="preserve"> PAGEREF _Toc178713982 \h </w:instrText>
            </w:r>
            <w:r>
              <w:rPr>
                <w:noProof/>
                <w:webHidden/>
              </w:rPr>
            </w:r>
            <w:r>
              <w:rPr>
                <w:noProof/>
                <w:webHidden/>
              </w:rPr>
              <w:fldChar w:fldCharType="separate"/>
            </w:r>
            <w:r>
              <w:rPr>
                <w:noProof/>
                <w:webHidden/>
              </w:rPr>
              <w:t>19</w:t>
            </w:r>
            <w:r>
              <w:rPr>
                <w:noProof/>
                <w:webHidden/>
              </w:rPr>
              <w:fldChar w:fldCharType="end"/>
            </w:r>
          </w:hyperlink>
        </w:p>
        <w:p w14:paraId="7ACE32D0" w14:textId="1FE0A90A" w:rsidR="0086165E" w:rsidRDefault="0086165E">
          <w:pPr>
            <w:pStyle w:val="TOC2"/>
            <w:tabs>
              <w:tab w:val="right" w:leader="dot" w:pos="8494"/>
            </w:tabs>
            <w:rPr>
              <w:rFonts w:asciiTheme="minorHAnsi" w:eastAsiaTheme="minorEastAsia" w:hAnsiTheme="minorHAnsi" w:cstheme="minorBidi"/>
              <w:noProof/>
              <w:kern w:val="2"/>
              <w:sz w:val="22"/>
              <w:szCs w:val="22"/>
              <w:lang w:val="es-CU" w:eastAsia="es-CU"/>
              <w14:ligatures w14:val="standardContextual"/>
            </w:rPr>
          </w:pPr>
          <w:hyperlink w:anchor="_Toc178713983" w:history="1">
            <w:r w:rsidRPr="00331FB3">
              <w:rPr>
                <w:rStyle w:val="Hyperlink"/>
                <w:b/>
                <w:bCs/>
                <w:noProof/>
              </w:rPr>
              <w:t>Tipo de estudio</w:t>
            </w:r>
            <w:r>
              <w:rPr>
                <w:noProof/>
                <w:webHidden/>
              </w:rPr>
              <w:tab/>
            </w:r>
            <w:r>
              <w:rPr>
                <w:noProof/>
                <w:webHidden/>
              </w:rPr>
              <w:fldChar w:fldCharType="begin"/>
            </w:r>
            <w:r>
              <w:rPr>
                <w:noProof/>
                <w:webHidden/>
              </w:rPr>
              <w:instrText xml:space="preserve"> PAGEREF _Toc178713983 \h </w:instrText>
            </w:r>
            <w:r>
              <w:rPr>
                <w:noProof/>
                <w:webHidden/>
              </w:rPr>
            </w:r>
            <w:r>
              <w:rPr>
                <w:noProof/>
                <w:webHidden/>
              </w:rPr>
              <w:fldChar w:fldCharType="separate"/>
            </w:r>
            <w:r>
              <w:rPr>
                <w:noProof/>
                <w:webHidden/>
              </w:rPr>
              <w:t>19</w:t>
            </w:r>
            <w:r>
              <w:rPr>
                <w:noProof/>
                <w:webHidden/>
              </w:rPr>
              <w:fldChar w:fldCharType="end"/>
            </w:r>
          </w:hyperlink>
        </w:p>
        <w:p w14:paraId="53805E75" w14:textId="1DBC818F" w:rsidR="0086165E" w:rsidRDefault="0086165E">
          <w:pPr>
            <w:pStyle w:val="TOC2"/>
            <w:tabs>
              <w:tab w:val="right" w:leader="dot" w:pos="8494"/>
            </w:tabs>
            <w:rPr>
              <w:rFonts w:asciiTheme="minorHAnsi" w:eastAsiaTheme="minorEastAsia" w:hAnsiTheme="minorHAnsi" w:cstheme="minorBidi"/>
              <w:noProof/>
              <w:kern w:val="2"/>
              <w:sz w:val="22"/>
              <w:szCs w:val="22"/>
              <w:lang w:val="es-CU" w:eastAsia="es-CU"/>
              <w14:ligatures w14:val="standardContextual"/>
            </w:rPr>
          </w:pPr>
          <w:hyperlink w:anchor="_Toc178713984" w:history="1">
            <w:r w:rsidRPr="00331FB3">
              <w:rPr>
                <w:rStyle w:val="Hyperlink"/>
                <w:b/>
                <w:bCs/>
                <w:noProof/>
              </w:rPr>
              <w:t>Universo y muestra</w:t>
            </w:r>
            <w:r>
              <w:rPr>
                <w:noProof/>
                <w:webHidden/>
              </w:rPr>
              <w:tab/>
            </w:r>
            <w:r>
              <w:rPr>
                <w:noProof/>
                <w:webHidden/>
              </w:rPr>
              <w:fldChar w:fldCharType="begin"/>
            </w:r>
            <w:r>
              <w:rPr>
                <w:noProof/>
                <w:webHidden/>
              </w:rPr>
              <w:instrText xml:space="preserve"> PAGEREF _Toc178713984 \h </w:instrText>
            </w:r>
            <w:r>
              <w:rPr>
                <w:noProof/>
                <w:webHidden/>
              </w:rPr>
            </w:r>
            <w:r>
              <w:rPr>
                <w:noProof/>
                <w:webHidden/>
              </w:rPr>
              <w:fldChar w:fldCharType="separate"/>
            </w:r>
            <w:r>
              <w:rPr>
                <w:noProof/>
                <w:webHidden/>
              </w:rPr>
              <w:t>19</w:t>
            </w:r>
            <w:r>
              <w:rPr>
                <w:noProof/>
                <w:webHidden/>
              </w:rPr>
              <w:fldChar w:fldCharType="end"/>
            </w:r>
          </w:hyperlink>
        </w:p>
        <w:p w14:paraId="7EB482F2" w14:textId="6E6061DA" w:rsidR="0086165E" w:rsidRDefault="0086165E">
          <w:pPr>
            <w:pStyle w:val="TOC2"/>
            <w:tabs>
              <w:tab w:val="right" w:leader="dot" w:pos="8494"/>
            </w:tabs>
            <w:rPr>
              <w:rFonts w:asciiTheme="minorHAnsi" w:eastAsiaTheme="minorEastAsia" w:hAnsiTheme="minorHAnsi" w:cstheme="minorBidi"/>
              <w:noProof/>
              <w:kern w:val="2"/>
              <w:sz w:val="22"/>
              <w:szCs w:val="22"/>
              <w:lang w:val="es-CU" w:eastAsia="es-CU"/>
              <w14:ligatures w14:val="standardContextual"/>
            </w:rPr>
          </w:pPr>
          <w:hyperlink w:anchor="_Toc178713985" w:history="1">
            <w:r w:rsidRPr="00331FB3">
              <w:rPr>
                <w:rStyle w:val="Hyperlink"/>
                <w:b/>
                <w:bCs/>
                <w:noProof/>
              </w:rPr>
              <w:t>Variables</w:t>
            </w:r>
            <w:r>
              <w:rPr>
                <w:noProof/>
                <w:webHidden/>
              </w:rPr>
              <w:tab/>
            </w:r>
            <w:r>
              <w:rPr>
                <w:noProof/>
                <w:webHidden/>
              </w:rPr>
              <w:fldChar w:fldCharType="begin"/>
            </w:r>
            <w:r>
              <w:rPr>
                <w:noProof/>
                <w:webHidden/>
              </w:rPr>
              <w:instrText xml:space="preserve"> PAGEREF _Toc178713985 \h </w:instrText>
            </w:r>
            <w:r>
              <w:rPr>
                <w:noProof/>
                <w:webHidden/>
              </w:rPr>
            </w:r>
            <w:r>
              <w:rPr>
                <w:noProof/>
                <w:webHidden/>
              </w:rPr>
              <w:fldChar w:fldCharType="separate"/>
            </w:r>
            <w:r>
              <w:rPr>
                <w:noProof/>
                <w:webHidden/>
              </w:rPr>
              <w:t>20</w:t>
            </w:r>
            <w:r>
              <w:rPr>
                <w:noProof/>
                <w:webHidden/>
              </w:rPr>
              <w:fldChar w:fldCharType="end"/>
            </w:r>
          </w:hyperlink>
        </w:p>
        <w:p w14:paraId="6E1072F3" w14:textId="0F227FBA" w:rsidR="0086165E" w:rsidRDefault="0086165E">
          <w:pPr>
            <w:pStyle w:val="TOC2"/>
            <w:tabs>
              <w:tab w:val="right" w:leader="dot" w:pos="8494"/>
            </w:tabs>
            <w:rPr>
              <w:rFonts w:asciiTheme="minorHAnsi" w:eastAsiaTheme="minorEastAsia" w:hAnsiTheme="minorHAnsi" w:cstheme="minorBidi"/>
              <w:noProof/>
              <w:kern w:val="2"/>
              <w:sz w:val="22"/>
              <w:szCs w:val="22"/>
              <w:lang w:val="es-CU" w:eastAsia="es-CU"/>
              <w14:ligatures w14:val="standardContextual"/>
            </w:rPr>
          </w:pPr>
          <w:hyperlink w:anchor="_Toc178713986" w:history="1">
            <w:r w:rsidRPr="00331FB3">
              <w:rPr>
                <w:rStyle w:val="Hyperlink"/>
                <w:b/>
                <w:bCs/>
                <w:noProof/>
              </w:rPr>
              <w:t>Procedimientos</w:t>
            </w:r>
            <w:r>
              <w:rPr>
                <w:noProof/>
                <w:webHidden/>
              </w:rPr>
              <w:tab/>
            </w:r>
            <w:r>
              <w:rPr>
                <w:noProof/>
                <w:webHidden/>
              </w:rPr>
              <w:fldChar w:fldCharType="begin"/>
            </w:r>
            <w:r>
              <w:rPr>
                <w:noProof/>
                <w:webHidden/>
              </w:rPr>
              <w:instrText xml:space="preserve"> PAGEREF _Toc178713986 \h </w:instrText>
            </w:r>
            <w:r>
              <w:rPr>
                <w:noProof/>
                <w:webHidden/>
              </w:rPr>
            </w:r>
            <w:r>
              <w:rPr>
                <w:noProof/>
                <w:webHidden/>
              </w:rPr>
              <w:fldChar w:fldCharType="separate"/>
            </w:r>
            <w:r>
              <w:rPr>
                <w:noProof/>
                <w:webHidden/>
              </w:rPr>
              <w:t>22</w:t>
            </w:r>
            <w:r>
              <w:rPr>
                <w:noProof/>
                <w:webHidden/>
              </w:rPr>
              <w:fldChar w:fldCharType="end"/>
            </w:r>
          </w:hyperlink>
        </w:p>
        <w:p w14:paraId="0816C9FE" w14:textId="5F02821E" w:rsidR="0086165E" w:rsidRDefault="0086165E">
          <w:pPr>
            <w:pStyle w:val="TOC2"/>
            <w:tabs>
              <w:tab w:val="right" w:leader="dot" w:pos="8494"/>
            </w:tabs>
            <w:rPr>
              <w:rFonts w:asciiTheme="minorHAnsi" w:eastAsiaTheme="minorEastAsia" w:hAnsiTheme="minorHAnsi" w:cstheme="minorBidi"/>
              <w:noProof/>
              <w:kern w:val="2"/>
              <w:sz w:val="22"/>
              <w:szCs w:val="22"/>
              <w:lang w:val="es-CU" w:eastAsia="es-CU"/>
              <w14:ligatures w14:val="standardContextual"/>
            </w:rPr>
          </w:pPr>
          <w:hyperlink w:anchor="_Toc178713987" w:history="1">
            <w:r w:rsidRPr="00331FB3">
              <w:rPr>
                <w:rStyle w:val="Hyperlink"/>
                <w:b/>
                <w:bCs/>
                <w:noProof/>
              </w:rPr>
              <w:t>Recolección de los datos y análisis de la información</w:t>
            </w:r>
            <w:r>
              <w:rPr>
                <w:noProof/>
                <w:webHidden/>
              </w:rPr>
              <w:tab/>
            </w:r>
            <w:r>
              <w:rPr>
                <w:noProof/>
                <w:webHidden/>
              </w:rPr>
              <w:fldChar w:fldCharType="begin"/>
            </w:r>
            <w:r>
              <w:rPr>
                <w:noProof/>
                <w:webHidden/>
              </w:rPr>
              <w:instrText xml:space="preserve"> PAGEREF _Toc178713987 \h </w:instrText>
            </w:r>
            <w:r>
              <w:rPr>
                <w:noProof/>
                <w:webHidden/>
              </w:rPr>
            </w:r>
            <w:r>
              <w:rPr>
                <w:noProof/>
                <w:webHidden/>
              </w:rPr>
              <w:fldChar w:fldCharType="separate"/>
            </w:r>
            <w:r>
              <w:rPr>
                <w:noProof/>
                <w:webHidden/>
              </w:rPr>
              <w:t>23</w:t>
            </w:r>
            <w:r>
              <w:rPr>
                <w:noProof/>
                <w:webHidden/>
              </w:rPr>
              <w:fldChar w:fldCharType="end"/>
            </w:r>
          </w:hyperlink>
        </w:p>
        <w:p w14:paraId="6D4FD689" w14:textId="56DF705E" w:rsidR="0086165E" w:rsidRDefault="0086165E">
          <w:pPr>
            <w:pStyle w:val="TOC2"/>
            <w:tabs>
              <w:tab w:val="right" w:leader="dot" w:pos="8494"/>
            </w:tabs>
            <w:rPr>
              <w:rFonts w:asciiTheme="minorHAnsi" w:eastAsiaTheme="minorEastAsia" w:hAnsiTheme="minorHAnsi" w:cstheme="minorBidi"/>
              <w:noProof/>
              <w:kern w:val="2"/>
              <w:sz w:val="22"/>
              <w:szCs w:val="22"/>
              <w:lang w:val="es-CU" w:eastAsia="es-CU"/>
              <w14:ligatures w14:val="standardContextual"/>
            </w:rPr>
          </w:pPr>
          <w:hyperlink w:anchor="_Toc178713988" w:history="1">
            <w:r w:rsidRPr="00331FB3">
              <w:rPr>
                <w:rStyle w:val="Hyperlink"/>
                <w:b/>
                <w:bCs/>
                <w:noProof/>
              </w:rPr>
              <w:t>Consideraciones éticas</w:t>
            </w:r>
            <w:r>
              <w:rPr>
                <w:noProof/>
                <w:webHidden/>
              </w:rPr>
              <w:tab/>
            </w:r>
            <w:r>
              <w:rPr>
                <w:noProof/>
                <w:webHidden/>
              </w:rPr>
              <w:fldChar w:fldCharType="begin"/>
            </w:r>
            <w:r>
              <w:rPr>
                <w:noProof/>
                <w:webHidden/>
              </w:rPr>
              <w:instrText xml:space="preserve"> PAGEREF _Toc178713988 \h </w:instrText>
            </w:r>
            <w:r>
              <w:rPr>
                <w:noProof/>
                <w:webHidden/>
              </w:rPr>
            </w:r>
            <w:r>
              <w:rPr>
                <w:noProof/>
                <w:webHidden/>
              </w:rPr>
              <w:fldChar w:fldCharType="separate"/>
            </w:r>
            <w:r>
              <w:rPr>
                <w:noProof/>
                <w:webHidden/>
              </w:rPr>
              <w:t>24</w:t>
            </w:r>
            <w:r>
              <w:rPr>
                <w:noProof/>
                <w:webHidden/>
              </w:rPr>
              <w:fldChar w:fldCharType="end"/>
            </w:r>
          </w:hyperlink>
        </w:p>
        <w:p w14:paraId="2AE627A1" w14:textId="1BC7DC45" w:rsidR="0086165E" w:rsidRDefault="0086165E">
          <w:pPr>
            <w:pStyle w:val="TOC2"/>
            <w:tabs>
              <w:tab w:val="right" w:leader="dot" w:pos="8494"/>
            </w:tabs>
            <w:rPr>
              <w:rFonts w:asciiTheme="minorHAnsi" w:eastAsiaTheme="minorEastAsia" w:hAnsiTheme="minorHAnsi" w:cstheme="minorBidi"/>
              <w:noProof/>
              <w:kern w:val="2"/>
              <w:sz w:val="22"/>
              <w:szCs w:val="22"/>
              <w:lang w:val="es-CU" w:eastAsia="es-CU"/>
              <w14:ligatures w14:val="standardContextual"/>
            </w:rPr>
          </w:pPr>
          <w:hyperlink w:anchor="_Toc178713989" w:history="1">
            <w:r w:rsidRPr="00331FB3">
              <w:rPr>
                <w:rStyle w:val="Hyperlink"/>
                <w:b/>
                <w:bCs/>
                <w:noProof/>
              </w:rPr>
              <w:t>Cronograma</w:t>
            </w:r>
            <w:r>
              <w:rPr>
                <w:noProof/>
                <w:webHidden/>
              </w:rPr>
              <w:tab/>
            </w:r>
            <w:r>
              <w:rPr>
                <w:noProof/>
                <w:webHidden/>
              </w:rPr>
              <w:fldChar w:fldCharType="begin"/>
            </w:r>
            <w:r>
              <w:rPr>
                <w:noProof/>
                <w:webHidden/>
              </w:rPr>
              <w:instrText xml:space="preserve"> PAGEREF _Toc178713989 \h </w:instrText>
            </w:r>
            <w:r>
              <w:rPr>
                <w:noProof/>
                <w:webHidden/>
              </w:rPr>
            </w:r>
            <w:r>
              <w:rPr>
                <w:noProof/>
                <w:webHidden/>
              </w:rPr>
              <w:fldChar w:fldCharType="separate"/>
            </w:r>
            <w:r>
              <w:rPr>
                <w:noProof/>
                <w:webHidden/>
              </w:rPr>
              <w:t>25</w:t>
            </w:r>
            <w:r>
              <w:rPr>
                <w:noProof/>
                <w:webHidden/>
              </w:rPr>
              <w:fldChar w:fldCharType="end"/>
            </w:r>
          </w:hyperlink>
        </w:p>
        <w:p w14:paraId="5A8B07A8" w14:textId="2F5CF5B7" w:rsidR="0086165E" w:rsidRDefault="0086165E">
          <w:pPr>
            <w:pStyle w:val="TOC2"/>
            <w:tabs>
              <w:tab w:val="right" w:leader="dot" w:pos="8494"/>
            </w:tabs>
            <w:rPr>
              <w:rFonts w:asciiTheme="minorHAnsi" w:eastAsiaTheme="minorEastAsia" w:hAnsiTheme="minorHAnsi" w:cstheme="minorBidi"/>
              <w:noProof/>
              <w:kern w:val="2"/>
              <w:sz w:val="22"/>
              <w:szCs w:val="22"/>
              <w:lang w:val="es-CU" w:eastAsia="es-CU"/>
              <w14:ligatures w14:val="standardContextual"/>
            </w:rPr>
          </w:pPr>
          <w:hyperlink w:anchor="_Toc178713990" w:history="1">
            <w:r w:rsidRPr="00331FB3">
              <w:rPr>
                <w:rStyle w:val="Hyperlink"/>
                <w:rFonts w:eastAsia="Calibri"/>
                <w:b/>
                <w:bCs/>
                <w:noProof/>
                <w:lang w:val="es-ES"/>
              </w:rPr>
              <w:t>Recursos a utilizar</w:t>
            </w:r>
            <w:r>
              <w:rPr>
                <w:noProof/>
                <w:webHidden/>
              </w:rPr>
              <w:tab/>
            </w:r>
            <w:r>
              <w:rPr>
                <w:noProof/>
                <w:webHidden/>
              </w:rPr>
              <w:fldChar w:fldCharType="begin"/>
            </w:r>
            <w:r>
              <w:rPr>
                <w:noProof/>
                <w:webHidden/>
              </w:rPr>
              <w:instrText xml:space="preserve"> PAGEREF _Toc178713990 \h </w:instrText>
            </w:r>
            <w:r>
              <w:rPr>
                <w:noProof/>
                <w:webHidden/>
              </w:rPr>
            </w:r>
            <w:r>
              <w:rPr>
                <w:noProof/>
                <w:webHidden/>
              </w:rPr>
              <w:fldChar w:fldCharType="separate"/>
            </w:r>
            <w:r>
              <w:rPr>
                <w:noProof/>
                <w:webHidden/>
              </w:rPr>
              <w:t>25</w:t>
            </w:r>
            <w:r>
              <w:rPr>
                <w:noProof/>
                <w:webHidden/>
              </w:rPr>
              <w:fldChar w:fldCharType="end"/>
            </w:r>
          </w:hyperlink>
        </w:p>
        <w:p w14:paraId="22B18C67" w14:textId="0F000AB7" w:rsidR="0086165E" w:rsidRDefault="0086165E">
          <w:pPr>
            <w:pStyle w:val="TOC1"/>
            <w:tabs>
              <w:tab w:val="right" w:leader="dot" w:pos="8494"/>
            </w:tabs>
            <w:rPr>
              <w:rFonts w:asciiTheme="minorHAnsi" w:eastAsiaTheme="minorEastAsia" w:hAnsiTheme="minorHAnsi" w:cstheme="minorBidi"/>
              <w:noProof/>
              <w:kern w:val="2"/>
              <w:sz w:val="22"/>
              <w:szCs w:val="22"/>
              <w:lang w:val="es-CU" w:eastAsia="es-CU"/>
              <w14:ligatures w14:val="standardContextual"/>
            </w:rPr>
          </w:pPr>
          <w:hyperlink w:anchor="_Toc178713991" w:history="1">
            <w:r w:rsidRPr="00331FB3">
              <w:rPr>
                <w:rStyle w:val="Hyperlink"/>
                <w:b/>
                <w:bCs/>
                <w:noProof/>
              </w:rPr>
              <w:t>REFERENCIAS BIBLIOGRÁFICAS</w:t>
            </w:r>
            <w:r>
              <w:rPr>
                <w:noProof/>
                <w:webHidden/>
              </w:rPr>
              <w:tab/>
            </w:r>
            <w:r>
              <w:rPr>
                <w:noProof/>
                <w:webHidden/>
              </w:rPr>
              <w:fldChar w:fldCharType="begin"/>
            </w:r>
            <w:r>
              <w:rPr>
                <w:noProof/>
                <w:webHidden/>
              </w:rPr>
              <w:instrText xml:space="preserve"> PAGEREF _Toc178713991 \h </w:instrText>
            </w:r>
            <w:r>
              <w:rPr>
                <w:noProof/>
                <w:webHidden/>
              </w:rPr>
            </w:r>
            <w:r>
              <w:rPr>
                <w:noProof/>
                <w:webHidden/>
              </w:rPr>
              <w:fldChar w:fldCharType="separate"/>
            </w:r>
            <w:r>
              <w:rPr>
                <w:noProof/>
                <w:webHidden/>
              </w:rPr>
              <w:t>27</w:t>
            </w:r>
            <w:r>
              <w:rPr>
                <w:noProof/>
                <w:webHidden/>
              </w:rPr>
              <w:fldChar w:fldCharType="end"/>
            </w:r>
          </w:hyperlink>
        </w:p>
        <w:p w14:paraId="10641321" w14:textId="7F5C8088" w:rsidR="0086165E" w:rsidRDefault="0086165E">
          <w:pPr>
            <w:pStyle w:val="TOC2"/>
            <w:tabs>
              <w:tab w:val="right" w:leader="dot" w:pos="8494"/>
            </w:tabs>
            <w:rPr>
              <w:rFonts w:asciiTheme="minorHAnsi" w:eastAsiaTheme="minorEastAsia" w:hAnsiTheme="minorHAnsi" w:cstheme="minorBidi"/>
              <w:noProof/>
              <w:kern w:val="2"/>
              <w:sz w:val="22"/>
              <w:szCs w:val="22"/>
              <w:lang w:val="es-CU" w:eastAsia="es-CU"/>
              <w14:ligatures w14:val="standardContextual"/>
            </w:rPr>
          </w:pPr>
          <w:hyperlink w:anchor="_Toc178713992" w:history="1">
            <w:r w:rsidRPr="00331FB3">
              <w:rPr>
                <w:rStyle w:val="Hyperlink"/>
                <w:b/>
                <w:bCs/>
                <w:noProof/>
              </w:rPr>
              <w:t>ANEXOS</w:t>
            </w:r>
            <w:r>
              <w:rPr>
                <w:noProof/>
                <w:webHidden/>
              </w:rPr>
              <w:tab/>
            </w:r>
            <w:r>
              <w:rPr>
                <w:noProof/>
                <w:webHidden/>
              </w:rPr>
              <w:fldChar w:fldCharType="begin"/>
            </w:r>
            <w:r>
              <w:rPr>
                <w:noProof/>
                <w:webHidden/>
              </w:rPr>
              <w:instrText xml:space="preserve"> PAGEREF _Toc178713992 \h </w:instrText>
            </w:r>
            <w:r>
              <w:rPr>
                <w:noProof/>
                <w:webHidden/>
              </w:rPr>
            </w:r>
            <w:r>
              <w:rPr>
                <w:noProof/>
                <w:webHidden/>
              </w:rPr>
              <w:fldChar w:fldCharType="separate"/>
            </w:r>
            <w:r>
              <w:rPr>
                <w:noProof/>
                <w:webHidden/>
              </w:rPr>
              <w:t>37</w:t>
            </w:r>
            <w:r>
              <w:rPr>
                <w:noProof/>
                <w:webHidden/>
              </w:rPr>
              <w:fldChar w:fldCharType="end"/>
            </w:r>
          </w:hyperlink>
        </w:p>
        <w:p w14:paraId="27FAE2AD" w14:textId="6A3E85F1" w:rsidR="00AE1D56" w:rsidRDefault="00AE1D56">
          <w:r>
            <w:rPr>
              <w:b/>
              <w:bCs/>
              <w:noProof/>
            </w:rPr>
            <w:fldChar w:fldCharType="end"/>
          </w:r>
        </w:p>
      </w:sdtContent>
    </w:sdt>
    <w:p w14:paraId="7C9D3CA6" w14:textId="411DE0C7" w:rsidR="00820E12" w:rsidRDefault="00AE1D56" w:rsidP="00AE1D56">
      <w:pPr>
        <w:rPr>
          <w:rFonts w:eastAsia="Calibri"/>
        </w:rPr>
      </w:pPr>
      <w:r w:rsidRPr="00AE1D56">
        <w:rPr>
          <w:b/>
          <w:bCs/>
        </w:rPr>
        <w:br/>
      </w:r>
      <w:r w:rsidRPr="00AE1D56">
        <w:rPr>
          <w:b/>
          <w:bCs/>
        </w:rPr>
        <w:br/>
      </w:r>
      <w:r w:rsidRPr="00AE1D56">
        <w:rPr>
          <w:b/>
          <w:bCs/>
        </w:rPr>
        <w:br/>
      </w:r>
      <w:r>
        <w:rPr>
          <w:b/>
          <w:bCs/>
        </w:rPr>
        <w:lastRenderedPageBreak/>
        <w:t>RESUMEN</w:t>
      </w:r>
      <w:r w:rsidRPr="00AE1D56">
        <w:rPr>
          <w:b/>
          <w:bCs/>
        </w:rPr>
        <w:br/>
      </w:r>
      <w:r w:rsidRPr="006416CA">
        <w:rPr>
          <w:rFonts w:eastAsia="Calibri"/>
          <w:b/>
        </w:rPr>
        <w:t>Introducción:</w:t>
      </w:r>
      <w:r w:rsidRPr="006416CA">
        <w:rPr>
          <w:rFonts w:eastAsia="Calibri"/>
        </w:rPr>
        <w:t xml:space="preserve"> </w:t>
      </w:r>
      <w:r w:rsidR="001557F2">
        <w:rPr>
          <w:rFonts w:eastAsia="Calibri"/>
        </w:rPr>
        <w:t>l</w:t>
      </w:r>
      <w:r w:rsidRPr="006416CA">
        <w:rPr>
          <w:rFonts w:eastAsia="Calibri"/>
        </w:rPr>
        <w:t xml:space="preserve">a </w:t>
      </w:r>
      <w:bookmarkStart w:id="2" w:name="_Hlk176866862"/>
      <w:r w:rsidRPr="006416CA">
        <w:rPr>
          <w:rFonts w:eastAsia="Calibri"/>
        </w:rPr>
        <w:t xml:space="preserve">neuropatía diabética </w:t>
      </w:r>
      <w:bookmarkEnd w:id="2"/>
      <w:r w:rsidRPr="006416CA">
        <w:rPr>
          <w:rFonts w:eastAsia="Calibri"/>
        </w:rPr>
        <w:t xml:space="preserve">es la complicación más frecuente de la diabetes </w:t>
      </w:r>
      <w:r w:rsidRPr="001557F2">
        <w:rPr>
          <w:rFonts w:eastAsia="Calibri"/>
          <w:i/>
          <w:iCs/>
        </w:rPr>
        <w:t>mellitus</w:t>
      </w:r>
      <w:r w:rsidRPr="006416CA">
        <w:rPr>
          <w:rFonts w:eastAsia="Calibri"/>
        </w:rPr>
        <w:t xml:space="preserve"> y </w:t>
      </w:r>
      <w:r w:rsidR="001557F2">
        <w:rPr>
          <w:rFonts w:eastAsia="Calibri"/>
        </w:rPr>
        <w:t>se asocia a un deterioro de la calidad de vida y un peor pronóstico del paciente</w:t>
      </w:r>
      <w:r w:rsidRPr="006416CA">
        <w:rPr>
          <w:rFonts w:eastAsia="Calibri"/>
        </w:rPr>
        <w:t xml:space="preserve">. </w:t>
      </w:r>
      <w:r w:rsidRPr="006416CA">
        <w:rPr>
          <w:rFonts w:eastAsia="Calibri"/>
          <w:b/>
        </w:rPr>
        <w:t xml:space="preserve">Objetivo general: </w:t>
      </w:r>
      <w:r w:rsidR="001557F2">
        <w:rPr>
          <w:rFonts w:eastAsia="Calibri"/>
        </w:rPr>
        <w:t>d</w:t>
      </w:r>
      <w:r w:rsidRPr="006416CA">
        <w:rPr>
          <w:rFonts w:eastAsia="Calibri"/>
        </w:rPr>
        <w:t>eterminar la prevalencia y los factores asociados a la neuropatía periférica en pacientes diabéticos</w:t>
      </w:r>
      <w:bookmarkStart w:id="3" w:name="_Hlk173103600"/>
      <w:r w:rsidR="00166045">
        <w:rPr>
          <w:rFonts w:eastAsia="Calibri"/>
        </w:rPr>
        <w:t xml:space="preserve"> en atención primaria de </w:t>
      </w:r>
      <w:bookmarkEnd w:id="3"/>
      <w:r w:rsidR="00166045">
        <w:rPr>
          <w:rFonts w:eastAsia="Calibri"/>
        </w:rPr>
        <w:t>salud.</w:t>
      </w:r>
      <w:r w:rsidR="00820E12">
        <w:rPr>
          <w:rFonts w:eastAsia="Calibri"/>
        </w:rPr>
        <w:t xml:space="preserve"> </w:t>
      </w:r>
      <w:r w:rsidRPr="006416CA">
        <w:rPr>
          <w:rFonts w:eastAsia="Calibri"/>
          <w:b/>
        </w:rPr>
        <w:t>Diseño metodológico</w:t>
      </w:r>
      <w:r w:rsidRPr="006416CA">
        <w:rPr>
          <w:rFonts w:eastAsia="Calibri"/>
        </w:rPr>
        <w:t xml:space="preserve">: </w:t>
      </w:r>
      <w:r w:rsidR="001557F2">
        <w:rPr>
          <w:rFonts w:eastAsia="Calibri"/>
        </w:rPr>
        <w:t>d</w:t>
      </w:r>
      <w:r w:rsidRPr="006416CA">
        <w:rPr>
          <w:rFonts w:eastAsia="Calibri"/>
        </w:rPr>
        <w:t xml:space="preserve">e realizará un estudio observacional, </w:t>
      </w:r>
      <w:r w:rsidR="001557F2">
        <w:rPr>
          <w:rFonts w:eastAsia="Calibri"/>
        </w:rPr>
        <w:t xml:space="preserve">analítico y transversal </w:t>
      </w:r>
      <w:r w:rsidRPr="006416CA">
        <w:rPr>
          <w:rFonts w:eastAsia="Calibri"/>
        </w:rPr>
        <w:t xml:space="preserve">con </w:t>
      </w:r>
      <w:r w:rsidR="001557F2">
        <w:rPr>
          <w:rFonts w:eastAsia="Calibri"/>
        </w:rPr>
        <w:t xml:space="preserve">pacientes diabéticos </w:t>
      </w:r>
      <w:r>
        <w:rPr>
          <w:rFonts w:eastAsia="Calibri"/>
        </w:rPr>
        <w:t xml:space="preserve">en una población del policlínico Cerro, </w:t>
      </w:r>
      <w:r w:rsidRPr="006416CA">
        <w:rPr>
          <w:rFonts w:eastAsia="Calibri"/>
        </w:rPr>
        <w:t>durante el período de enero del 202</w:t>
      </w:r>
      <w:r>
        <w:rPr>
          <w:rFonts w:eastAsia="Calibri"/>
        </w:rPr>
        <w:t>4</w:t>
      </w:r>
      <w:r w:rsidRPr="006416CA">
        <w:rPr>
          <w:rFonts w:eastAsia="Calibri"/>
        </w:rPr>
        <w:t xml:space="preserve"> a enero del 202</w:t>
      </w:r>
      <w:r w:rsidR="00820E12">
        <w:rPr>
          <w:rFonts w:eastAsia="Calibri"/>
        </w:rPr>
        <w:t>6</w:t>
      </w:r>
      <w:r w:rsidRPr="006416CA">
        <w:rPr>
          <w:rFonts w:eastAsia="Calibri"/>
        </w:rPr>
        <w:t xml:space="preserve"> y que cumplan con los criterios de inclusión</w:t>
      </w:r>
      <w:r w:rsidR="001557F2">
        <w:rPr>
          <w:rFonts w:eastAsia="Calibri"/>
        </w:rPr>
        <w:t xml:space="preserve"> de ser mayor de 18 años y querer participar en el estudio. </w:t>
      </w:r>
      <w:r w:rsidR="00820E12">
        <w:rPr>
          <w:rFonts w:eastAsia="Calibri"/>
        </w:rPr>
        <w:t xml:space="preserve">Se utilizarán los test </w:t>
      </w:r>
      <w:r w:rsidR="00820E12" w:rsidRPr="00820E12">
        <w:rPr>
          <w:rFonts w:eastAsia="Calibri"/>
          <w:i/>
          <w:iCs/>
        </w:rPr>
        <w:t>Neuropathy Disability Score</w:t>
      </w:r>
      <w:r w:rsidR="00820E12" w:rsidRPr="00820E12">
        <w:rPr>
          <w:rFonts w:eastAsia="Calibri"/>
        </w:rPr>
        <w:t xml:space="preserve"> </w:t>
      </w:r>
      <w:r w:rsidR="00820E12">
        <w:rPr>
          <w:rFonts w:eastAsia="Calibri"/>
        </w:rPr>
        <w:t xml:space="preserve">y el </w:t>
      </w:r>
      <w:r w:rsidR="00820E12" w:rsidRPr="00820E12">
        <w:rPr>
          <w:rFonts w:eastAsia="Calibri"/>
          <w:i/>
          <w:iCs/>
        </w:rPr>
        <w:t>Total Syptom Score</w:t>
      </w:r>
      <w:r w:rsidR="00820E12">
        <w:rPr>
          <w:rFonts w:eastAsia="Calibri"/>
        </w:rPr>
        <w:t xml:space="preserve"> para diagnosticar </w:t>
      </w:r>
      <w:r w:rsidR="001557F2">
        <w:rPr>
          <w:rFonts w:eastAsia="Calibri"/>
        </w:rPr>
        <w:t>la presencia de neuropatía diabética</w:t>
      </w:r>
      <w:r w:rsidR="00820E12">
        <w:rPr>
          <w:rFonts w:eastAsia="Calibri"/>
        </w:rPr>
        <w:t>. Se explorarán</w:t>
      </w:r>
      <w:r w:rsidR="001557F2">
        <w:rPr>
          <w:rFonts w:eastAsia="Calibri"/>
        </w:rPr>
        <w:t xml:space="preserve"> los factores de riesgos asociados a esta. </w:t>
      </w:r>
      <w:r w:rsidR="00820E12" w:rsidRPr="00470588">
        <w:rPr>
          <w:rFonts w:eastAsia="Calibri"/>
        </w:rPr>
        <w:t>Para el análisis estadístico se aplicará la media aritmética y la desviación estándar en el caso de variables cuantitativas; y las frecuencias absolutas y relativas para las variables cualitativas. Las variables cuantitativas se compararán entre sí mediante la t de</w:t>
      </w:r>
      <w:r w:rsidR="00820E12" w:rsidRPr="00470588">
        <w:rPr>
          <w:rFonts w:eastAsia="Calibri"/>
          <w:i/>
        </w:rPr>
        <w:t xml:space="preserve"> student</w:t>
      </w:r>
      <w:r w:rsidR="00820E12" w:rsidRPr="00470588">
        <w:rPr>
          <w:rFonts w:eastAsia="Calibri"/>
        </w:rPr>
        <w:t xml:space="preserve"> para muestras independientes y las cualitativas mediante el test de Chi Cuadrado, con las correcciones Fisher en los casos indicados y </w:t>
      </w:r>
      <w:r w:rsidR="00820E12" w:rsidRPr="00470588">
        <w:rPr>
          <w:lang w:bidi="he-IL"/>
        </w:rPr>
        <w:t xml:space="preserve">se calculará el </w:t>
      </w:r>
      <w:r w:rsidR="00820E12" w:rsidRPr="00470588">
        <w:rPr>
          <w:i/>
          <w:lang w:bidi="he-IL"/>
        </w:rPr>
        <w:t>odds ratio</w:t>
      </w:r>
      <w:r w:rsidR="00820E12" w:rsidRPr="00470588">
        <w:rPr>
          <w:lang w:bidi="he-IL"/>
        </w:rPr>
        <w:t xml:space="preserve"> </w:t>
      </w:r>
      <w:r w:rsidR="00820E12" w:rsidRPr="00470588">
        <w:rPr>
          <w:rFonts w:eastAsia="Calibri"/>
        </w:rPr>
        <w:t xml:space="preserve">con intervalo de confianza del 95% y con una p &lt; 0,05.  </w:t>
      </w:r>
      <w:r w:rsidR="00820E12">
        <w:rPr>
          <w:rFonts w:eastAsia="Calibri"/>
        </w:rPr>
        <w:t xml:space="preserve"> </w:t>
      </w:r>
      <w:r w:rsidRPr="006416CA">
        <w:rPr>
          <w:rFonts w:eastAsia="Calibri"/>
          <w:b/>
        </w:rPr>
        <w:t xml:space="preserve">Resultados esperados: </w:t>
      </w:r>
      <w:r w:rsidRPr="006416CA">
        <w:rPr>
          <w:rFonts w:eastAsia="Calibri"/>
        </w:rPr>
        <w:t>se prevé identificar una alta prevalencia de la neuropatía diabética periférica en la población de estudio así como un grupo de factores asociados potencialmente modificables.</w:t>
      </w:r>
    </w:p>
    <w:p w14:paraId="6F805762" w14:textId="77777777" w:rsidR="00820E12" w:rsidRDefault="00820E12" w:rsidP="00AE1D56">
      <w:pPr>
        <w:rPr>
          <w:rFonts w:eastAsia="Calibri"/>
          <w:b/>
        </w:rPr>
      </w:pPr>
    </w:p>
    <w:p w14:paraId="423C31E6" w14:textId="4D10A1D4" w:rsidR="00AE1D56" w:rsidRPr="00470588" w:rsidRDefault="00AE1D56">
      <w:pPr>
        <w:sectPr w:rsidR="00AE1D56" w:rsidRPr="00470588">
          <w:headerReference w:type="default" r:id="rId9"/>
          <w:pgSz w:w="11906" w:h="16838"/>
          <w:pgMar w:top="1417" w:right="1701" w:bottom="1417" w:left="1701" w:header="708" w:footer="708" w:gutter="0"/>
          <w:cols w:space="708"/>
          <w:docGrid w:linePitch="360"/>
        </w:sectPr>
      </w:pPr>
      <w:r w:rsidRPr="006416CA">
        <w:rPr>
          <w:rFonts w:eastAsia="Calibri"/>
          <w:b/>
        </w:rPr>
        <w:t>Palabras claves:</w:t>
      </w:r>
      <w:r w:rsidRPr="006416CA">
        <w:rPr>
          <w:rFonts w:eastAsia="Calibri"/>
        </w:rPr>
        <w:t xml:space="preserve"> </w:t>
      </w:r>
      <w:r w:rsidR="00316B18" w:rsidRPr="00316B18">
        <w:rPr>
          <w:rFonts w:eastAsia="Calibri"/>
        </w:rPr>
        <w:tab/>
      </w:r>
      <w:r w:rsidR="00316B18">
        <w:rPr>
          <w:rFonts w:eastAsia="Calibri"/>
        </w:rPr>
        <w:t>n</w:t>
      </w:r>
      <w:r w:rsidR="00316B18" w:rsidRPr="00316B18">
        <w:rPr>
          <w:rFonts w:eastAsia="Calibri"/>
        </w:rPr>
        <w:t>europatías Diabéticas</w:t>
      </w:r>
      <w:r w:rsidR="00316B18">
        <w:t xml:space="preserve">, prevalencia, factores de riesgo,  diabetes </w:t>
      </w:r>
      <w:r w:rsidR="00316B18" w:rsidRPr="00316B18">
        <w:rPr>
          <w:i/>
          <w:iCs/>
        </w:rPr>
        <w:t>melli</w:t>
      </w:r>
      <w:r w:rsidR="00316B18">
        <w:rPr>
          <w:i/>
          <w:iCs/>
        </w:rPr>
        <w:t>t</w:t>
      </w:r>
      <w:r w:rsidR="00316B18" w:rsidRPr="00316B18">
        <w:rPr>
          <w:i/>
          <w:iCs/>
        </w:rPr>
        <w:t>us</w:t>
      </w:r>
    </w:p>
    <w:p w14:paraId="72831255" w14:textId="1CAE64A2" w:rsidR="000C73FA" w:rsidRPr="00470588" w:rsidRDefault="000C73FA" w:rsidP="000C73FA">
      <w:pPr>
        <w:pStyle w:val="Heading1"/>
        <w:rPr>
          <w:rFonts w:ascii="Arial" w:hAnsi="Arial" w:cs="Arial"/>
          <w:b/>
          <w:bCs/>
          <w:color w:val="auto"/>
          <w:sz w:val="24"/>
          <w:szCs w:val="24"/>
        </w:rPr>
      </w:pPr>
      <w:bookmarkStart w:id="4" w:name="_Toc178713977"/>
      <w:r w:rsidRPr="00470588">
        <w:rPr>
          <w:rFonts w:ascii="Arial" w:hAnsi="Arial" w:cs="Arial"/>
          <w:b/>
          <w:bCs/>
          <w:color w:val="auto"/>
          <w:sz w:val="24"/>
          <w:szCs w:val="24"/>
        </w:rPr>
        <w:lastRenderedPageBreak/>
        <w:t>INTRODUCCIÓN</w:t>
      </w:r>
      <w:bookmarkEnd w:id="4"/>
    </w:p>
    <w:p w14:paraId="3612E7ED" w14:textId="51B860C9" w:rsidR="007F4F35" w:rsidRPr="00470588" w:rsidRDefault="007F4F35" w:rsidP="007F4F35">
      <w:r w:rsidRPr="00470588">
        <w:t xml:space="preserve">Las enfermedades crónicas no transmisibles actualmente constituyen las principales causas de muerte y discapacidad prematura en la mayoría de los países. Constituyen el 50,0% de los años de vida perdidos en función de la discapacidad en la región. Las más frecuentes y de mayor importancia para la salud pública son: las enfermedades cardiovasculares (ECV), incluida la hipertensión arterial (HTA), el cáncer, las enfermedades respiratorias crónicas y la diabetes </w:t>
      </w:r>
      <w:r w:rsidRPr="00470588">
        <w:rPr>
          <w:i/>
        </w:rPr>
        <w:t>mellitus</w:t>
      </w:r>
      <w:r w:rsidRPr="00470588">
        <w:t xml:space="preserve"> (DM).</w:t>
      </w:r>
      <w:bookmarkStart w:id="5" w:name="_Hlk119432561"/>
      <w:r w:rsidRPr="00470588">
        <w:rPr>
          <w:vertAlign w:val="superscript"/>
        </w:rPr>
        <w:t>(</w:t>
      </w:r>
      <w:bookmarkStart w:id="6" w:name="_Ref176900992"/>
      <w:r w:rsidR="00E37D9F" w:rsidRPr="00470588">
        <w:rPr>
          <w:rStyle w:val="EndnoteReference"/>
        </w:rPr>
        <w:endnoteReference w:id="1"/>
      </w:r>
      <w:bookmarkEnd w:id="6"/>
      <w:r w:rsidRPr="00470588">
        <w:rPr>
          <w:vertAlign w:val="superscript"/>
        </w:rPr>
        <w:t>)</w:t>
      </w:r>
      <w:bookmarkEnd w:id="5"/>
    </w:p>
    <w:p w14:paraId="6B159AD1" w14:textId="334F8F3A" w:rsidR="007F4F35" w:rsidRPr="00470588" w:rsidRDefault="007F4F35" w:rsidP="007F4F35">
      <w:r w:rsidRPr="00470588">
        <w:t>La DM es una enfermedad que se conoce desde hace siglos; sin embargo, a finales del milenio el conocimiento de su etiología, historia natural y epidemiología es incompleto. Es una patología crónica no curable con las terapéuticas actuales. Además, la hiperglucemia crónica provocada por esta enfermedad altera la calidad de vida del paciente diabético a la vez que favorece el desarrollo de complicaciones que pueden llevar a la invalidez y la muerte prematura. Por tal razón su importancia epidemiológica no sólo está dada por su alta frecuencia, sino por el impacto socio-sanitario de las complicaciones crónicas que produce y por ser uno de los factores de riesgo principales de la ECV.</w:t>
      </w:r>
      <w:r w:rsidRPr="00470588">
        <w:rPr>
          <w:vertAlign w:val="superscript"/>
        </w:rPr>
        <w:t>(</w:t>
      </w:r>
      <w:r w:rsidR="005D78C9" w:rsidRPr="00470588">
        <w:rPr>
          <w:vertAlign w:val="superscript"/>
        </w:rPr>
        <w:fldChar w:fldCharType="begin"/>
      </w:r>
      <w:r w:rsidR="005D78C9" w:rsidRPr="00470588">
        <w:rPr>
          <w:vertAlign w:val="superscript"/>
        </w:rPr>
        <w:instrText xml:space="preserve"> NOTEREF _Ref176900992 \h </w:instrText>
      </w:r>
      <w:r w:rsidR="005D78C9" w:rsidRPr="00470588">
        <w:rPr>
          <w:vertAlign w:val="superscript"/>
        </w:rPr>
      </w:r>
      <w:r w:rsidR="005D78C9" w:rsidRPr="00470588">
        <w:rPr>
          <w:vertAlign w:val="superscript"/>
        </w:rPr>
        <w:fldChar w:fldCharType="separate"/>
      </w:r>
      <w:r w:rsidR="0043049E">
        <w:rPr>
          <w:vertAlign w:val="superscript"/>
        </w:rPr>
        <w:t>1</w:t>
      </w:r>
      <w:r w:rsidR="005D78C9" w:rsidRPr="00470588">
        <w:rPr>
          <w:vertAlign w:val="superscript"/>
        </w:rPr>
        <w:fldChar w:fldCharType="end"/>
      </w:r>
      <w:r w:rsidRPr="00470588">
        <w:rPr>
          <w:vertAlign w:val="superscript"/>
        </w:rPr>
        <w:t>,</w:t>
      </w:r>
      <w:bookmarkStart w:id="7" w:name="_Ref176901691"/>
      <w:r w:rsidR="00B87F86" w:rsidRPr="00470588">
        <w:rPr>
          <w:rStyle w:val="EndnoteReference"/>
        </w:rPr>
        <w:endnoteReference w:id="2"/>
      </w:r>
      <w:bookmarkEnd w:id="7"/>
      <w:r w:rsidRPr="00470588">
        <w:rPr>
          <w:vertAlign w:val="superscript"/>
        </w:rPr>
        <w:t>,</w:t>
      </w:r>
      <w:bookmarkStart w:id="8" w:name="_Ref176901702"/>
      <w:r w:rsidR="00B87F86" w:rsidRPr="00470588">
        <w:rPr>
          <w:rStyle w:val="EndnoteReference"/>
        </w:rPr>
        <w:endnoteReference w:id="3"/>
      </w:r>
      <w:bookmarkEnd w:id="8"/>
      <w:r w:rsidRPr="00470588">
        <w:rPr>
          <w:vertAlign w:val="superscript"/>
        </w:rPr>
        <w:t>)</w:t>
      </w:r>
    </w:p>
    <w:p w14:paraId="36E127BB" w14:textId="08FA0BC6" w:rsidR="007F4F35" w:rsidRPr="00470588" w:rsidRDefault="007F4F35" w:rsidP="007F4F35">
      <w:r w:rsidRPr="00470588">
        <w:t xml:space="preserve">La literatura médica encuentra constantemente que la DM incontrolada, o el control glucémico deficiente que resulta en niveles más altos de azúcar en la sangre, es una condición predominante que afecta a alrededor del 50% de los pacientes diabéticos. El mal control metabólico, así como de otros factores de riesgo asociados aumenta el riesgo de complicaciones crónicas, por ello estas personas tienen un riesgo aumentado de morir con respecto a los no diabéticos, </w:t>
      </w:r>
      <w:r w:rsidRPr="00470588">
        <w:lastRenderedPageBreak/>
        <w:t>llegando a duplicarlo cuando se hace referencia a muerte de causa cardiovascular.</w:t>
      </w:r>
      <w:bookmarkStart w:id="10" w:name="_Hlk119433362"/>
      <w:r w:rsidRPr="00470588">
        <w:rPr>
          <w:vertAlign w:val="superscript"/>
        </w:rPr>
        <w:t>(</w:t>
      </w:r>
      <w:r w:rsidR="00B87F86" w:rsidRPr="00470588">
        <w:rPr>
          <w:vertAlign w:val="superscript"/>
        </w:rPr>
        <w:fldChar w:fldCharType="begin"/>
      </w:r>
      <w:r w:rsidR="00B87F86" w:rsidRPr="00470588">
        <w:rPr>
          <w:vertAlign w:val="superscript"/>
        </w:rPr>
        <w:instrText xml:space="preserve"> NOTEREF _Ref176901691 \h </w:instrText>
      </w:r>
      <w:r w:rsidR="00B87F86" w:rsidRPr="00470588">
        <w:rPr>
          <w:vertAlign w:val="superscript"/>
        </w:rPr>
      </w:r>
      <w:r w:rsidR="00B87F86" w:rsidRPr="00470588">
        <w:rPr>
          <w:vertAlign w:val="superscript"/>
        </w:rPr>
        <w:fldChar w:fldCharType="separate"/>
      </w:r>
      <w:r w:rsidR="0043049E">
        <w:rPr>
          <w:vertAlign w:val="superscript"/>
        </w:rPr>
        <w:t>2</w:t>
      </w:r>
      <w:r w:rsidR="00B87F86" w:rsidRPr="00470588">
        <w:rPr>
          <w:vertAlign w:val="superscript"/>
        </w:rPr>
        <w:fldChar w:fldCharType="end"/>
      </w:r>
      <w:r w:rsidRPr="00470588">
        <w:rPr>
          <w:vertAlign w:val="superscript"/>
        </w:rPr>
        <w:t>,</w:t>
      </w:r>
      <w:r w:rsidR="00B87F86" w:rsidRPr="00470588">
        <w:rPr>
          <w:vertAlign w:val="superscript"/>
        </w:rPr>
        <w:fldChar w:fldCharType="begin"/>
      </w:r>
      <w:r w:rsidR="00B87F86" w:rsidRPr="00470588">
        <w:rPr>
          <w:vertAlign w:val="superscript"/>
        </w:rPr>
        <w:instrText xml:space="preserve"> NOTEREF _Ref176901702 \h </w:instrText>
      </w:r>
      <w:r w:rsidR="00B87F86" w:rsidRPr="00470588">
        <w:rPr>
          <w:vertAlign w:val="superscript"/>
        </w:rPr>
      </w:r>
      <w:r w:rsidR="00B87F86" w:rsidRPr="00470588">
        <w:rPr>
          <w:vertAlign w:val="superscript"/>
        </w:rPr>
        <w:fldChar w:fldCharType="separate"/>
      </w:r>
      <w:r w:rsidR="0043049E">
        <w:rPr>
          <w:vertAlign w:val="superscript"/>
        </w:rPr>
        <w:t>3</w:t>
      </w:r>
      <w:r w:rsidR="00B87F86" w:rsidRPr="00470588">
        <w:rPr>
          <w:vertAlign w:val="superscript"/>
        </w:rPr>
        <w:fldChar w:fldCharType="end"/>
      </w:r>
      <w:r w:rsidRPr="00470588">
        <w:rPr>
          <w:vertAlign w:val="superscript"/>
        </w:rPr>
        <w:t>)</w:t>
      </w:r>
      <w:bookmarkEnd w:id="10"/>
    </w:p>
    <w:p w14:paraId="76BE08AC" w14:textId="147B86DF" w:rsidR="007F4F35" w:rsidRPr="00470588" w:rsidRDefault="007F4F35" w:rsidP="007F4F35">
      <w:r w:rsidRPr="00470588">
        <w:t>En el mundo más de 400 millones de personas adultas padecen de DM, con una prevalencia del 8,8%. Se estima que esta cifra aumente a cerca de 600 millones para el año 2030, y a 700 millones para 2045. Estos datos muestran el impacto social de esta enfermedad mientras que se considera que este efecto será mayor debido al aumento progresivo de casos, con un incremento mayor en países en vías de desarrollo.</w:t>
      </w:r>
      <w:r w:rsidRPr="00470588">
        <w:rPr>
          <w:vertAlign w:val="superscript"/>
        </w:rPr>
        <w:t>(</w:t>
      </w:r>
      <w:bookmarkStart w:id="11" w:name="_Ref176901898"/>
      <w:r w:rsidR="00B87F86" w:rsidRPr="00470588">
        <w:rPr>
          <w:rStyle w:val="EndnoteReference"/>
        </w:rPr>
        <w:endnoteReference w:id="4"/>
      </w:r>
      <w:bookmarkEnd w:id="11"/>
      <w:r w:rsidR="00A33A2F" w:rsidRPr="00470588">
        <w:rPr>
          <w:vertAlign w:val="superscript"/>
        </w:rPr>
        <w:t>,</w:t>
      </w:r>
      <w:bookmarkStart w:id="12" w:name="_Ref177055521"/>
      <w:r w:rsidR="00A33A2F" w:rsidRPr="00470588">
        <w:rPr>
          <w:rStyle w:val="EndnoteReference"/>
        </w:rPr>
        <w:endnoteReference w:id="5"/>
      </w:r>
      <w:bookmarkEnd w:id="12"/>
      <w:r w:rsidRPr="00470588">
        <w:rPr>
          <w:vertAlign w:val="superscript"/>
        </w:rPr>
        <w:t>)</w:t>
      </w:r>
    </w:p>
    <w:p w14:paraId="735FA338" w14:textId="735BC709" w:rsidR="007F4F35" w:rsidRPr="00470588" w:rsidRDefault="007F4F35" w:rsidP="007F4F35">
      <w:r w:rsidRPr="00470588">
        <w:t>Solo en los Estados Unidos de América. los costos totales estimados de la diabetes diagnosticada aumentaron un 41% en un período de cinco años, de 174 mil millones de dólares en 2007 a 245 mil millones de dólares en 2012. En el Reino Unido, el coste de la diabetes para el sistema nacional de salud se sitúa en torno al 10 % del presupuesto para Inglaterra y Gales. Del mismo modo, la DM absorbe alrededor del 8% del gasto total en salud pública en España, con un estimado de 5,100 millones de euros para costes directos y 1,500 millones de euros para complicaciones relacionadas con la diabetes. Por su parte, se ha calculado que la DM descontrolada aumenta los gastos en un 24% lo que equivale a un gasto en US dólares de 2,503 por persona.</w:t>
      </w:r>
      <w:bookmarkStart w:id="13" w:name="_Hlk119433547"/>
      <w:r w:rsidRPr="00470588">
        <w:rPr>
          <w:vertAlign w:val="superscript"/>
        </w:rPr>
        <w:t>(</w:t>
      </w:r>
      <w:r w:rsidR="00044D0B" w:rsidRPr="00470588">
        <w:rPr>
          <w:vertAlign w:val="superscript"/>
        </w:rPr>
        <w:fldChar w:fldCharType="begin"/>
      </w:r>
      <w:r w:rsidR="00044D0B" w:rsidRPr="00470588">
        <w:rPr>
          <w:vertAlign w:val="superscript"/>
        </w:rPr>
        <w:instrText xml:space="preserve"> NOTEREF _Ref176901898 \h </w:instrText>
      </w:r>
      <w:r w:rsidR="00044D0B" w:rsidRPr="00470588">
        <w:rPr>
          <w:vertAlign w:val="superscript"/>
        </w:rPr>
      </w:r>
      <w:r w:rsidR="00044D0B" w:rsidRPr="00470588">
        <w:rPr>
          <w:vertAlign w:val="superscript"/>
        </w:rPr>
        <w:fldChar w:fldCharType="separate"/>
      </w:r>
      <w:r w:rsidR="0043049E">
        <w:rPr>
          <w:vertAlign w:val="superscript"/>
        </w:rPr>
        <w:t>4</w:t>
      </w:r>
      <w:r w:rsidR="00044D0B" w:rsidRPr="00470588">
        <w:rPr>
          <w:vertAlign w:val="superscript"/>
        </w:rPr>
        <w:fldChar w:fldCharType="end"/>
      </w:r>
      <w:r w:rsidRPr="00470588">
        <w:rPr>
          <w:vertAlign w:val="superscript"/>
        </w:rPr>
        <w:t>,</w:t>
      </w:r>
      <w:r w:rsidR="00044D0B" w:rsidRPr="00470588">
        <w:rPr>
          <w:rStyle w:val="EndnoteReference"/>
        </w:rPr>
        <w:endnoteReference w:id="6"/>
      </w:r>
      <w:r w:rsidRPr="00470588">
        <w:rPr>
          <w:vertAlign w:val="superscript"/>
        </w:rPr>
        <w:t>)</w:t>
      </w:r>
      <w:bookmarkEnd w:id="13"/>
    </w:p>
    <w:p w14:paraId="37059B8C" w14:textId="3B226236" w:rsidR="007F4F35" w:rsidRPr="00470588" w:rsidRDefault="007F4F35" w:rsidP="007F4F35">
      <w:r w:rsidRPr="00470588">
        <w:t>En América Latina se estima que hay más de 25 millones de personas con esta enfermedad, cifra que para el año 2030 podría tener un incremento del 70 %. En México se reportó una prevalencia de DM de 9,4 % para adultos.</w:t>
      </w:r>
      <w:bookmarkStart w:id="14" w:name="_Hlk119433643"/>
      <w:r w:rsidRPr="00470588">
        <w:rPr>
          <w:vertAlign w:val="superscript"/>
        </w:rPr>
        <w:t>(</w:t>
      </w:r>
      <w:r w:rsidR="00044D0B" w:rsidRPr="00470588">
        <w:rPr>
          <w:rStyle w:val="EndnoteReference"/>
        </w:rPr>
        <w:endnoteReference w:id="7"/>
      </w:r>
      <w:r w:rsidRPr="00470588">
        <w:rPr>
          <w:vertAlign w:val="superscript"/>
        </w:rPr>
        <w:t>)</w:t>
      </w:r>
      <w:bookmarkEnd w:id="14"/>
    </w:p>
    <w:p w14:paraId="6D2D1B9B" w14:textId="61E951C1" w:rsidR="007F4F35" w:rsidRPr="00470588" w:rsidRDefault="007F4F35" w:rsidP="007F4F35">
      <w:r w:rsidRPr="00470588">
        <w:t>En el anuario estadístico de salud de Cuba, publicado de forma electrónica en el 202</w:t>
      </w:r>
      <w:r w:rsidR="00C21CB8" w:rsidRPr="00470588">
        <w:t>2</w:t>
      </w:r>
      <w:r w:rsidRPr="00470588">
        <w:t>, se reporta que la prevalencia de la DM es de un 66,</w:t>
      </w:r>
      <w:r w:rsidR="00C21CB8" w:rsidRPr="00470588">
        <w:t>5</w:t>
      </w:r>
      <w:r w:rsidRPr="00470588">
        <w:t xml:space="preserve"> por cada 100 mil habitantes, superior a la de años anteriores. En el año de publicación del documento, la DM fue la octava causa principal de muerte, con </w:t>
      </w:r>
      <w:r w:rsidR="00C21CB8" w:rsidRPr="00470588">
        <w:t>2,510</w:t>
      </w:r>
      <w:r w:rsidRPr="00470588">
        <w:t xml:space="preserve"> </w:t>
      </w:r>
      <w:r w:rsidRPr="00470588">
        <w:lastRenderedPageBreak/>
        <w:t xml:space="preserve">defunciones en el país, para una tasa bruta y ajustada de </w:t>
      </w:r>
      <w:r w:rsidR="00C21CB8" w:rsidRPr="00470588">
        <w:t>22,7</w:t>
      </w:r>
      <w:r w:rsidRPr="00470588">
        <w:t xml:space="preserve"> y </w:t>
      </w:r>
      <w:r w:rsidR="00C21CB8" w:rsidRPr="00470588">
        <w:t>10,9</w:t>
      </w:r>
      <w:r w:rsidRPr="00470588">
        <w:t xml:space="preserve"> x 100 mil habitantes de forma respectiva. Es además la cuarta causa de mortalidad </w:t>
      </w:r>
      <w:r w:rsidR="00C21CB8" w:rsidRPr="00470588">
        <w:t xml:space="preserve">prematura (edades entre 30 y 69 años) </w:t>
      </w:r>
      <w:r w:rsidRPr="00470588">
        <w:t xml:space="preserve">con cerca de </w:t>
      </w:r>
      <w:r w:rsidR="0079211D" w:rsidRPr="00470588">
        <w:t>1,7</w:t>
      </w:r>
      <w:r w:rsidRPr="00470588">
        <w:t xml:space="preserve"> años de vida potencial perdidos Las mujeres aportaron el </w:t>
      </w:r>
      <w:r w:rsidR="00C21CB8" w:rsidRPr="00470588">
        <w:t>57,6</w:t>
      </w:r>
      <w:r w:rsidRPr="00470588">
        <w:t>% de los fallecidos por esta enfermedad</w:t>
      </w:r>
      <w:r w:rsidR="00C21CB8" w:rsidRPr="00470588">
        <w:t xml:space="preserve"> donde además constituyen el sexo de mayor prevalencia</w:t>
      </w:r>
      <w:r w:rsidRPr="00470588">
        <w:t>.</w:t>
      </w:r>
      <w:bookmarkStart w:id="15" w:name="_Hlk119433756"/>
      <w:r w:rsidRPr="00470588">
        <w:rPr>
          <w:vertAlign w:val="superscript"/>
        </w:rPr>
        <w:t>(</w:t>
      </w:r>
      <w:r w:rsidR="00044D0B" w:rsidRPr="00470588">
        <w:rPr>
          <w:rStyle w:val="EndnoteReference"/>
        </w:rPr>
        <w:endnoteReference w:id="8"/>
      </w:r>
      <w:r w:rsidRPr="00470588">
        <w:rPr>
          <w:vertAlign w:val="superscript"/>
        </w:rPr>
        <w:t>)</w:t>
      </w:r>
      <w:bookmarkEnd w:id="15"/>
    </w:p>
    <w:p w14:paraId="7688E9AA" w14:textId="6C4B2F41" w:rsidR="007F4F35" w:rsidRPr="00470588" w:rsidRDefault="007F4F35" w:rsidP="007F4F35">
      <w:r w:rsidRPr="00470588">
        <w:t>El envejecimiento poblacional observado en las últimas décadas en la población cubana, el más elevado de América Latina, es un reto en lo económico y lo social, lo cual se imbrica en la atención de salud. Este fenómeno multifactorial ha conllevado a un aumento de la prevalencia de las enfermedades crónicas incluida la DM.</w:t>
      </w:r>
      <w:bookmarkStart w:id="16" w:name="_Hlk119433800"/>
      <w:r w:rsidRPr="00470588">
        <w:rPr>
          <w:vertAlign w:val="superscript"/>
        </w:rPr>
        <w:t>(</w:t>
      </w:r>
      <w:bookmarkStart w:id="17" w:name="_Ref176902466"/>
      <w:r w:rsidR="00044D0B" w:rsidRPr="00470588">
        <w:rPr>
          <w:rStyle w:val="EndnoteReference"/>
        </w:rPr>
        <w:endnoteReference w:id="9"/>
      </w:r>
      <w:bookmarkEnd w:id="17"/>
      <w:r w:rsidRPr="00470588">
        <w:rPr>
          <w:vertAlign w:val="superscript"/>
        </w:rPr>
        <w:t>,</w:t>
      </w:r>
      <w:r w:rsidR="009D7DC1" w:rsidRPr="00470588">
        <w:rPr>
          <w:rStyle w:val="EndnoteReference"/>
        </w:rPr>
        <w:endnoteReference w:id="10"/>
      </w:r>
      <w:r w:rsidRPr="00470588">
        <w:rPr>
          <w:vertAlign w:val="superscript"/>
        </w:rPr>
        <w:t>)</w:t>
      </w:r>
      <w:bookmarkEnd w:id="16"/>
    </w:p>
    <w:p w14:paraId="7D790F5F" w14:textId="5CBDCBB3" w:rsidR="007F4F35" w:rsidRPr="00470588" w:rsidRDefault="007F4F35" w:rsidP="007F4F35">
      <w:r w:rsidRPr="00470588">
        <w:t>Cuba cuenta con un Programa Nacional de Atención a Personas con DM desde el año 1975, el cual se desempeña en elevar el nivel de capacitación de los médicos que atienden esta enfermedad con respecto a los conocimientos actuales.</w:t>
      </w:r>
      <w:r w:rsidRPr="00470588">
        <w:rPr>
          <w:vertAlign w:val="superscript"/>
        </w:rPr>
        <w:t>(</w:t>
      </w:r>
      <w:r w:rsidR="009D7DC1" w:rsidRPr="00470588">
        <w:rPr>
          <w:vertAlign w:val="superscript"/>
        </w:rPr>
        <w:fldChar w:fldCharType="begin"/>
      </w:r>
      <w:r w:rsidR="009D7DC1" w:rsidRPr="00470588">
        <w:rPr>
          <w:vertAlign w:val="superscript"/>
        </w:rPr>
        <w:instrText xml:space="preserve"> NOTEREF _Ref176901691 \h </w:instrText>
      </w:r>
      <w:r w:rsidR="009D7DC1" w:rsidRPr="00470588">
        <w:rPr>
          <w:vertAlign w:val="superscript"/>
        </w:rPr>
      </w:r>
      <w:r w:rsidR="009D7DC1" w:rsidRPr="00470588">
        <w:rPr>
          <w:vertAlign w:val="superscript"/>
        </w:rPr>
        <w:fldChar w:fldCharType="separate"/>
      </w:r>
      <w:r w:rsidR="0043049E">
        <w:rPr>
          <w:vertAlign w:val="superscript"/>
        </w:rPr>
        <w:t>2</w:t>
      </w:r>
      <w:r w:rsidR="009D7DC1" w:rsidRPr="00470588">
        <w:rPr>
          <w:vertAlign w:val="superscript"/>
        </w:rPr>
        <w:fldChar w:fldCharType="end"/>
      </w:r>
      <w:r w:rsidRPr="00470588">
        <w:rPr>
          <w:vertAlign w:val="superscript"/>
        </w:rPr>
        <w:t>)</w:t>
      </w:r>
      <w:r w:rsidRPr="00470588">
        <w:t xml:space="preserve"> El primer centro de atención al diabético se inauguró el 26 de mayo de 1972 en la capital del país, constituyendo un departamento del Instituto de Endocrinología (INEN). Esto permitió en las décadas posteriores una mejora en la atención médica, una mejor capacitación del personal de salud y una labor investigativa más integral.</w:t>
      </w:r>
      <w:bookmarkStart w:id="18" w:name="_Hlk119433920"/>
      <w:r w:rsidRPr="00470588">
        <w:rPr>
          <w:vertAlign w:val="superscript"/>
        </w:rPr>
        <w:t>(</w:t>
      </w:r>
      <w:r w:rsidR="009D7DC1" w:rsidRPr="00470588">
        <w:rPr>
          <w:rStyle w:val="EndnoteReference"/>
        </w:rPr>
        <w:endnoteReference w:id="11"/>
      </w:r>
      <w:r w:rsidRPr="00470588">
        <w:rPr>
          <w:vertAlign w:val="superscript"/>
        </w:rPr>
        <w:t>)</w:t>
      </w:r>
      <w:bookmarkEnd w:id="18"/>
    </w:p>
    <w:p w14:paraId="2207F147" w14:textId="40A6F976" w:rsidR="007F4F35" w:rsidRPr="00470588" w:rsidRDefault="007F4F35" w:rsidP="00A13C31">
      <w:r w:rsidRPr="00470588">
        <w:t>Según reportes de la Organización Panamericana de la Salud, Cuba reporta las mejores cifras de control glucémico en Latinoamérica. Nuestro sistema de salud se basa en la prevención, promoción de salud y diagnóstico precoz de la enfermedad y sus complicaciones.</w:t>
      </w:r>
      <w:r w:rsidRPr="00470588">
        <w:rPr>
          <w:vertAlign w:val="superscript"/>
        </w:rPr>
        <w:t>(</w:t>
      </w:r>
      <w:r w:rsidR="009D7DC1" w:rsidRPr="00470588">
        <w:rPr>
          <w:vertAlign w:val="superscript"/>
        </w:rPr>
        <w:fldChar w:fldCharType="begin"/>
      </w:r>
      <w:r w:rsidR="009D7DC1" w:rsidRPr="00470588">
        <w:rPr>
          <w:vertAlign w:val="superscript"/>
        </w:rPr>
        <w:instrText xml:space="preserve"> NOTEREF _Ref176902466 \h </w:instrText>
      </w:r>
      <w:r w:rsidR="009D7DC1" w:rsidRPr="00470588">
        <w:rPr>
          <w:vertAlign w:val="superscript"/>
        </w:rPr>
      </w:r>
      <w:r w:rsidR="009D7DC1" w:rsidRPr="00470588">
        <w:rPr>
          <w:vertAlign w:val="superscript"/>
        </w:rPr>
        <w:fldChar w:fldCharType="separate"/>
      </w:r>
      <w:r w:rsidR="0043049E">
        <w:rPr>
          <w:vertAlign w:val="superscript"/>
        </w:rPr>
        <w:t>9</w:t>
      </w:r>
      <w:r w:rsidR="009D7DC1" w:rsidRPr="00470588">
        <w:rPr>
          <w:vertAlign w:val="superscript"/>
        </w:rPr>
        <w:fldChar w:fldCharType="end"/>
      </w:r>
      <w:r w:rsidRPr="00470588">
        <w:rPr>
          <w:vertAlign w:val="superscript"/>
        </w:rPr>
        <w:t xml:space="preserve">) </w:t>
      </w:r>
      <w:r w:rsidRPr="00470588">
        <w:t>Labor que se realiza, en lo principal, en el nivel de atención primaria.</w:t>
      </w:r>
    </w:p>
    <w:p w14:paraId="116E44B8" w14:textId="3B18CE3B" w:rsidR="00A13C31" w:rsidRPr="00470588" w:rsidRDefault="00A13C31" w:rsidP="00A13C31">
      <w:r w:rsidRPr="00470588">
        <w:t xml:space="preserve">La </w:t>
      </w:r>
      <w:r w:rsidR="00E37D9F" w:rsidRPr="00470588">
        <w:t>neuropatía periférica diabética (</w:t>
      </w:r>
      <w:r w:rsidRPr="00470588">
        <w:t>NPD</w:t>
      </w:r>
      <w:r w:rsidR="00E37D9F" w:rsidRPr="00470588">
        <w:t>)</w:t>
      </w:r>
      <w:r w:rsidRPr="00470588">
        <w:t xml:space="preserve"> está muy infradiagnosticada, lo que lleva a perder oportunidades para prevenir su progresión a formas severas y a la </w:t>
      </w:r>
      <w:r w:rsidRPr="00470588">
        <w:lastRenderedPageBreak/>
        <w:t>ulceración del pie, que tiene una terrible mortalidad a cinco años. De hecho, la NPD es una causa importante de ulceración del pie y está implicada en el 50-75% de todas las amputaciones no traumáticas. La mortalidad a uno y cinco años después de la amputación de un miembro inferior en personas con diabetes varía del 10 al 50% y del 30 al 80% de forma respectiva con esta última tasa de mortalidad comparable al cáncer de pulmón. Demás la NPD y la amputación representan un impacto devastador en el individuo que conduce a una pérdida de función, calidad de vida y estabilidad financiera.</w:t>
      </w:r>
      <w:r w:rsidRPr="00470588">
        <w:rPr>
          <w:vertAlign w:val="superscript"/>
        </w:rPr>
        <w:t>(</w:t>
      </w:r>
      <w:bookmarkStart w:id="19" w:name="_Ref176883674"/>
      <w:r w:rsidRPr="00470588">
        <w:rPr>
          <w:rStyle w:val="EndnoteReference"/>
        </w:rPr>
        <w:endnoteReference w:id="12"/>
      </w:r>
      <w:bookmarkEnd w:id="19"/>
      <w:r w:rsidR="003A6618" w:rsidRPr="00470588">
        <w:rPr>
          <w:vertAlign w:val="superscript"/>
        </w:rPr>
        <w:t>,</w:t>
      </w:r>
      <w:bookmarkStart w:id="20" w:name="_Ref176886183"/>
      <w:r w:rsidR="003A6618" w:rsidRPr="00470588">
        <w:rPr>
          <w:rStyle w:val="EndnoteReference"/>
        </w:rPr>
        <w:endnoteReference w:id="13"/>
      </w:r>
      <w:bookmarkEnd w:id="20"/>
      <w:r w:rsidRPr="00470588">
        <w:rPr>
          <w:vertAlign w:val="superscript"/>
        </w:rPr>
        <w:t>)</w:t>
      </w:r>
    </w:p>
    <w:p w14:paraId="6829D56F" w14:textId="175CBABE" w:rsidR="000C73FA" w:rsidRPr="00470588" w:rsidRDefault="000C73FA" w:rsidP="000C73FA">
      <w:pPr>
        <w:pStyle w:val="Heading2"/>
        <w:rPr>
          <w:rFonts w:ascii="Arial" w:hAnsi="Arial" w:cs="Arial"/>
          <w:b/>
          <w:bCs/>
          <w:color w:val="auto"/>
          <w:sz w:val="24"/>
          <w:szCs w:val="24"/>
        </w:rPr>
      </w:pPr>
      <w:bookmarkStart w:id="23" w:name="_Toc178713978"/>
      <w:r w:rsidRPr="00470588">
        <w:rPr>
          <w:rFonts w:ascii="Arial" w:hAnsi="Arial" w:cs="Arial"/>
          <w:b/>
          <w:bCs/>
          <w:color w:val="auto"/>
          <w:sz w:val="24"/>
          <w:szCs w:val="24"/>
        </w:rPr>
        <w:t>Justificación</w:t>
      </w:r>
      <w:bookmarkEnd w:id="23"/>
    </w:p>
    <w:p w14:paraId="70023085" w14:textId="3F584F78" w:rsidR="00AD56B7" w:rsidRPr="00470588" w:rsidRDefault="00AD56B7" w:rsidP="00AD56B7">
      <w:r w:rsidRPr="00470588">
        <w:t>La DM constituye un creciente problema de salud en Cuba, a expensas de su prevalencia</w:t>
      </w:r>
      <w:r w:rsidR="00CE128E" w:rsidRPr="00470588">
        <w:t xml:space="preserve"> elevada. Además el envejecimiento poblacional</w:t>
      </w:r>
      <w:r w:rsidR="00DB2A16" w:rsidRPr="00470588">
        <w:t>, la alta presencia de factores de riesgo cardiovasculares y el insuficiente control de la glucemia, aumentan</w:t>
      </w:r>
      <w:r w:rsidRPr="00470588">
        <w:t xml:space="preserve"> </w:t>
      </w:r>
      <w:r w:rsidR="00DB2A16" w:rsidRPr="00470588">
        <w:t>el</w:t>
      </w:r>
      <w:r w:rsidRPr="00470588">
        <w:t xml:space="preserve"> riesgo de desarrollar </w:t>
      </w:r>
      <w:r w:rsidR="00DB2A16" w:rsidRPr="00470588">
        <w:t>complicaciones en los pacientes afectados por esta condición.</w:t>
      </w:r>
    </w:p>
    <w:p w14:paraId="2CF02CCF" w14:textId="43266E56" w:rsidR="000C73FA" w:rsidRPr="00470588" w:rsidRDefault="00DC25AF" w:rsidP="000C73FA">
      <w:r w:rsidRPr="00470588">
        <w:t>La NDP suele tener un impacto significativo en la calidad de vida de la</w:t>
      </w:r>
      <w:r w:rsidR="00DB2A16" w:rsidRPr="00470588">
        <w:t>s</w:t>
      </w:r>
      <w:r w:rsidRPr="00470588">
        <w:t xml:space="preserve"> persona</w:t>
      </w:r>
      <w:r w:rsidR="00DB2A16" w:rsidRPr="00470588">
        <w:t>s</w:t>
      </w:r>
      <w:r w:rsidRPr="00470588">
        <w:t xml:space="preserve">. </w:t>
      </w:r>
      <w:r w:rsidR="00DB2A16" w:rsidRPr="00470588">
        <w:t xml:space="preserve">Con frecuencia </w:t>
      </w:r>
      <w:r w:rsidRPr="00470588">
        <w:t xml:space="preserve">es difícil de tratar, porque es resistente a muchas medicaciones, y por los efectos adversos que provocan. El control de la DM y de los factores asociados, ha demostrado ser capaz de reducir la incidencia de las complicaciones microvasculares. Por tanto, la determinación de la prevalencia y de los factores que se asocian a la NDP permitiría </w:t>
      </w:r>
      <w:r w:rsidR="00DB2A16" w:rsidRPr="00470588">
        <w:t xml:space="preserve">actuar de forma precoz , lo que se traduciría </w:t>
      </w:r>
      <w:r w:rsidRPr="00470588">
        <w:t>en un incremento en la calidad de vida de los pacientes y una reducción de los costos de la atención para el sistema de salud.</w:t>
      </w:r>
      <w:r w:rsidR="00DB2A16" w:rsidRPr="00470588">
        <w:t xml:space="preserve"> Por tal razón se decide realizar el presente trabajo con el objetivo de </w:t>
      </w:r>
      <w:r w:rsidR="00AD56B7" w:rsidRPr="00470588">
        <w:t>.</w:t>
      </w:r>
    </w:p>
    <w:p w14:paraId="70D945E9" w14:textId="12BF7761" w:rsidR="000C73FA" w:rsidRPr="00470588" w:rsidRDefault="000C73FA" w:rsidP="000C73FA">
      <w:pPr>
        <w:pStyle w:val="Heading2"/>
        <w:rPr>
          <w:rFonts w:ascii="Arial" w:hAnsi="Arial" w:cs="Arial"/>
          <w:b/>
          <w:bCs/>
          <w:color w:val="auto"/>
          <w:sz w:val="24"/>
          <w:szCs w:val="24"/>
        </w:rPr>
      </w:pPr>
      <w:bookmarkStart w:id="24" w:name="_Toc178713979"/>
      <w:r w:rsidRPr="00470588">
        <w:rPr>
          <w:rFonts w:ascii="Arial" w:hAnsi="Arial" w:cs="Arial"/>
          <w:b/>
          <w:bCs/>
          <w:color w:val="auto"/>
          <w:sz w:val="24"/>
          <w:szCs w:val="24"/>
        </w:rPr>
        <w:lastRenderedPageBreak/>
        <w:t>Planteamiento del problema</w:t>
      </w:r>
      <w:bookmarkEnd w:id="24"/>
    </w:p>
    <w:p w14:paraId="354E8A99" w14:textId="50B186E2" w:rsidR="00D773B3" w:rsidRPr="00470588" w:rsidRDefault="00D773B3" w:rsidP="00D773B3">
      <w:r w:rsidRPr="00470588">
        <w:t>Las investigaciones realizadas por el Servicio de Angiología encaminadas a explorar la NPD y sus factores predisponentes en una población cubana en el área de la atención primaria, son escasas y por tanto es insuficiente la información que se tiene sobre esta problemática. Por tal razón surge la siguiente pregunta de investigación:</w:t>
      </w:r>
    </w:p>
    <w:p w14:paraId="5DD09A5F" w14:textId="45907F44" w:rsidR="000C73FA" w:rsidRPr="00470588" w:rsidRDefault="00D773B3" w:rsidP="000C73FA">
      <w:r w:rsidRPr="00470588">
        <w:t>¿Cuál es la prevalencia y los factores asociados a la neuropatía periférica en pacientes diabéticos en una población del policlínico Cerro?</w:t>
      </w:r>
    </w:p>
    <w:p w14:paraId="0C1D1A70" w14:textId="1BE05329" w:rsidR="000C73FA" w:rsidRPr="00470588" w:rsidRDefault="000C73FA" w:rsidP="000C73FA">
      <w:pPr>
        <w:pStyle w:val="Heading2"/>
        <w:rPr>
          <w:rFonts w:ascii="Arial" w:hAnsi="Arial" w:cs="Arial"/>
          <w:b/>
          <w:bCs/>
          <w:color w:val="auto"/>
          <w:sz w:val="24"/>
          <w:szCs w:val="24"/>
        </w:rPr>
      </w:pPr>
      <w:bookmarkStart w:id="25" w:name="_Toc178713980"/>
      <w:r w:rsidRPr="00470588">
        <w:rPr>
          <w:rFonts w:ascii="Arial" w:hAnsi="Arial" w:cs="Arial"/>
          <w:b/>
          <w:bCs/>
          <w:color w:val="auto"/>
          <w:sz w:val="24"/>
          <w:szCs w:val="24"/>
        </w:rPr>
        <w:t>Objetivos</w:t>
      </w:r>
      <w:bookmarkEnd w:id="25"/>
    </w:p>
    <w:p w14:paraId="4573156E" w14:textId="54B7F3DF" w:rsidR="00D773B3" w:rsidRPr="00470588" w:rsidRDefault="00D773B3" w:rsidP="00D773B3">
      <w:pPr>
        <w:rPr>
          <w:i/>
          <w:iCs/>
        </w:rPr>
      </w:pPr>
      <w:r w:rsidRPr="00470588">
        <w:rPr>
          <w:i/>
          <w:iCs/>
        </w:rPr>
        <w:t>Objetivo general</w:t>
      </w:r>
    </w:p>
    <w:p w14:paraId="6B09E39E" w14:textId="21C61F30" w:rsidR="00D773B3" w:rsidRPr="00470588" w:rsidRDefault="00D773B3" w:rsidP="00D773B3">
      <w:r w:rsidRPr="00470588">
        <w:t>Estimar la prevalencia y los factores asociados a la neuropatía periférica en pacientes diabéticos en una población del policlínico Cerro.</w:t>
      </w:r>
    </w:p>
    <w:p w14:paraId="756E0940" w14:textId="78BDDDCE" w:rsidR="00D773B3" w:rsidRPr="00470588" w:rsidRDefault="00D773B3" w:rsidP="00D773B3">
      <w:pPr>
        <w:rPr>
          <w:i/>
          <w:iCs/>
        </w:rPr>
      </w:pPr>
      <w:r w:rsidRPr="00470588">
        <w:rPr>
          <w:i/>
          <w:iCs/>
        </w:rPr>
        <w:t>Objetivos específicos</w:t>
      </w:r>
    </w:p>
    <w:p w14:paraId="1965C8F9" w14:textId="570693F7" w:rsidR="00D773B3" w:rsidRPr="00470588" w:rsidRDefault="00D773B3" w:rsidP="00D773B3">
      <w:pPr>
        <w:pStyle w:val="ListParagraph"/>
        <w:numPr>
          <w:ilvl w:val="0"/>
          <w:numId w:val="6"/>
        </w:numPr>
      </w:pPr>
      <w:r w:rsidRPr="00470588">
        <w:t>Estimar la prevalencia de neuropatía periférica.</w:t>
      </w:r>
    </w:p>
    <w:p w14:paraId="3F29B784" w14:textId="29FBF2E6" w:rsidR="000C73FA" w:rsidRPr="00470588" w:rsidRDefault="00D773B3" w:rsidP="000C73FA">
      <w:pPr>
        <w:pStyle w:val="ListParagraph"/>
        <w:numPr>
          <w:ilvl w:val="0"/>
          <w:numId w:val="6"/>
        </w:numPr>
      </w:pPr>
      <w:r w:rsidRPr="00470588">
        <w:t>Identificar los factores asociados a la presencia de neuropatía periférica</w:t>
      </w:r>
    </w:p>
    <w:p w14:paraId="07886679" w14:textId="77777777" w:rsidR="00D773B3" w:rsidRPr="00470588" w:rsidRDefault="00D773B3" w:rsidP="00D773B3"/>
    <w:p w14:paraId="3BF42BE1" w14:textId="77777777" w:rsidR="00D773B3" w:rsidRPr="00470588" w:rsidRDefault="00D773B3" w:rsidP="00D773B3"/>
    <w:p w14:paraId="4F815584" w14:textId="77777777" w:rsidR="00D773B3" w:rsidRDefault="00D773B3" w:rsidP="00D773B3"/>
    <w:p w14:paraId="0F15FDDF" w14:textId="77777777" w:rsidR="00586051" w:rsidRDefault="00586051" w:rsidP="00D773B3"/>
    <w:p w14:paraId="05432968" w14:textId="77777777" w:rsidR="00586051" w:rsidRDefault="00586051" w:rsidP="00D773B3"/>
    <w:p w14:paraId="6DA468F6" w14:textId="77777777" w:rsidR="00586051" w:rsidRDefault="00586051" w:rsidP="00D773B3"/>
    <w:p w14:paraId="6E12FB51" w14:textId="77777777" w:rsidR="00586051" w:rsidRDefault="00586051" w:rsidP="00D773B3"/>
    <w:p w14:paraId="59ABA352" w14:textId="77777777" w:rsidR="00586051" w:rsidRDefault="00586051" w:rsidP="00D773B3"/>
    <w:p w14:paraId="7D77890A" w14:textId="77777777" w:rsidR="00586051" w:rsidRDefault="00586051" w:rsidP="00D773B3"/>
    <w:p w14:paraId="74879013" w14:textId="77777777" w:rsidR="00586051" w:rsidRPr="00470588" w:rsidRDefault="00586051" w:rsidP="00D773B3"/>
    <w:p w14:paraId="19623A38" w14:textId="22DDE286" w:rsidR="000C73FA" w:rsidRPr="00470588" w:rsidRDefault="000C73FA" w:rsidP="000C73FA">
      <w:pPr>
        <w:pStyle w:val="Heading1"/>
        <w:rPr>
          <w:rFonts w:ascii="Arial" w:hAnsi="Arial" w:cs="Arial"/>
          <w:b/>
          <w:bCs/>
          <w:color w:val="auto"/>
          <w:sz w:val="24"/>
          <w:szCs w:val="24"/>
        </w:rPr>
      </w:pPr>
      <w:bookmarkStart w:id="26" w:name="_Toc178713981"/>
      <w:r w:rsidRPr="00470588">
        <w:rPr>
          <w:rFonts w:ascii="Arial" w:hAnsi="Arial" w:cs="Arial"/>
          <w:b/>
          <w:bCs/>
          <w:color w:val="auto"/>
          <w:sz w:val="24"/>
          <w:szCs w:val="24"/>
        </w:rPr>
        <w:lastRenderedPageBreak/>
        <w:t>MARCO TEÓRICO</w:t>
      </w:r>
      <w:bookmarkEnd w:id="26"/>
    </w:p>
    <w:p w14:paraId="10B00E4D" w14:textId="721033B0" w:rsidR="00F06E56" w:rsidRPr="00470588" w:rsidRDefault="00F06E56" w:rsidP="00F06E56">
      <w:r w:rsidRPr="00470588">
        <w:t>La DM se refiere a un conjunto de trastornos del metabolismo de los carbohidratos, las proteínas y las grasas debido a la secreción inestable de insulina, a la presencia de resistencia a la insulina, o ambos.</w:t>
      </w:r>
      <w:r w:rsidRPr="00470588">
        <w:rPr>
          <w:vertAlign w:val="superscript"/>
        </w:rPr>
        <w:t>(</w:t>
      </w:r>
      <w:r w:rsidR="0000489A" w:rsidRPr="00470588">
        <w:rPr>
          <w:rStyle w:val="EndnoteReference"/>
        </w:rPr>
        <w:endnoteReference w:id="14"/>
      </w:r>
      <w:r w:rsidRPr="00470588">
        <w:rPr>
          <w:vertAlign w:val="superscript"/>
        </w:rPr>
        <w:t>)</w:t>
      </w:r>
      <w:r w:rsidRPr="00470588">
        <w:t xml:space="preserve"> La característica definitoria de la DM es la presencia de hiperglucemia. Las formas más comunes de diabetes son la diabetes tipo 1, en la que una deficiencia absoluta de insulina se produce como consecuencia de la destrucción de las células beta pancreáticas; y la diabetes tipo 2, en la que la resistencia a la insulina puede conducir a la hiperglucemia.</w:t>
      </w:r>
      <w:bookmarkStart w:id="27" w:name="_Hlk119436649"/>
      <w:r w:rsidRPr="00470588">
        <w:rPr>
          <w:vertAlign w:val="superscript"/>
        </w:rPr>
        <w:t>(</w:t>
      </w:r>
      <w:r w:rsidR="0000489A" w:rsidRPr="00470588">
        <w:rPr>
          <w:rStyle w:val="EndnoteReference"/>
        </w:rPr>
        <w:endnoteReference w:id="15"/>
      </w:r>
      <w:r w:rsidRPr="00470588">
        <w:rPr>
          <w:vertAlign w:val="superscript"/>
        </w:rPr>
        <w:t>)</w:t>
      </w:r>
      <w:bookmarkEnd w:id="27"/>
      <w:r w:rsidRPr="00470588">
        <w:t xml:space="preserve"> Tiene la capacidad de afectar las diversas funciones del sistema inmune del individuo, lo que predispone a la inflamación crónica, la descomposición de tejidos y la disminución progresiva de la reparación de estos.</w:t>
      </w:r>
      <w:r w:rsidRPr="00470588">
        <w:rPr>
          <w:vertAlign w:val="superscript"/>
        </w:rPr>
        <w:t>(</w:t>
      </w:r>
      <w:r w:rsidR="0000489A" w:rsidRPr="00470588">
        <w:rPr>
          <w:vertAlign w:val="superscript"/>
        </w:rPr>
        <w:fldChar w:fldCharType="begin"/>
      </w:r>
      <w:r w:rsidR="0000489A" w:rsidRPr="00470588">
        <w:rPr>
          <w:vertAlign w:val="superscript"/>
        </w:rPr>
        <w:instrText xml:space="preserve"> NOTEREF _Ref176900992 \h </w:instrText>
      </w:r>
      <w:r w:rsidR="0000489A" w:rsidRPr="00470588">
        <w:rPr>
          <w:vertAlign w:val="superscript"/>
        </w:rPr>
      </w:r>
      <w:r w:rsidR="0000489A" w:rsidRPr="00470588">
        <w:rPr>
          <w:vertAlign w:val="superscript"/>
        </w:rPr>
        <w:fldChar w:fldCharType="separate"/>
      </w:r>
      <w:r w:rsidR="0043049E">
        <w:rPr>
          <w:vertAlign w:val="superscript"/>
        </w:rPr>
        <w:t>1</w:t>
      </w:r>
      <w:r w:rsidR="0000489A" w:rsidRPr="00470588">
        <w:rPr>
          <w:vertAlign w:val="superscript"/>
        </w:rPr>
        <w:fldChar w:fldCharType="end"/>
      </w:r>
      <w:r w:rsidRPr="00470588">
        <w:rPr>
          <w:vertAlign w:val="superscript"/>
        </w:rPr>
        <w:t>)</w:t>
      </w:r>
    </w:p>
    <w:p w14:paraId="4D215BD7" w14:textId="3CD4F357" w:rsidR="00F06E56" w:rsidRPr="00470588" w:rsidRDefault="00F06E56" w:rsidP="00F06E56">
      <w:r w:rsidRPr="00470588">
        <w:t>La DM tipo 2 representa alrededor del 90% de todos los casos de diabetes; se debe en lo principal al uso ineficaz de la insulina por el organismo y la incapacidad de las células β pancreáticas para compensar la mayor demanda de insulina que resulta en la homeostasis de glucosa incontrolada. Con el tiempo, el control glucémico deficiente afecta varios distritos del cuerpo, especialmente los vasos sanguíneos y los nervios, lo que fomenta el desarrollo y la progresión de las neuropatías, las complicaciones micro y macrovasculares y la muerte prematura.</w:t>
      </w:r>
      <w:r w:rsidRPr="00470588">
        <w:rPr>
          <w:vertAlign w:val="superscript"/>
        </w:rPr>
        <w:t xml:space="preserve"> (</w:t>
      </w:r>
      <w:r w:rsidR="0000489A" w:rsidRPr="00470588">
        <w:rPr>
          <w:rStyle w:val="EndnoteReference"/>
        </w:rPr>
        <w:endnoteReference w:id="16"/>
      </w:r>
      <w:r w:rsidRPr="00470588">
        <w:rPr>
          <w:vertAlign w:val="superscript"/>
        </w:rPr>
        <w:t>)</w:t>
      </w:r>
    </w:p>
    <w:p w14:paraId="13CD25F8" w14:textId="60236730" w:rsidR="00F06E56" w:rsidRPr="00470588" w:rsidRDefault="00F06E56" w:rsidP="00F06E56">
      <w:r w:rsidRPr="00470588">
        <w:t xml:space="preserve">Los niveles de glucosa en sangre elevados, y la diabetes en sí, conducen a un mayor riesgo de ECV a través de múltiples mecanismos, que incluyen resistencia a la insulina, inflamación, disfunción endotelial y los efectos tóxicos de la glucosa en la microvasculatura. Además, los altos niveles de glucosa en sangre se asocian con un conjunto común de otros factores de riesgo metabólico </w:t>
      </w:r>
      <w:r w:rsidRPr="00470588">
        <w:lastRenderedPageBreak/>
        <w:t>subyacentes, incluida la HTA, la dislipidemia y la obesidad abdominal. El riesgo aumenta drásticamente por el tabaquismo y los niveles bajos de actividad física.</w:t>
      </w:r>
      <w:bookmarkStart w:id="28" w:name="_Hlk119437048"/>
      <w:r w:rsidRPr="00470588">
        <w:rPr>
          <w:vertAlign w:val="superscript"/>
        </w:rPr>
        <w:t>(</w:t>
      </w:r>
      <w:r w:rsidR="0000489A" w:rsidRPr="00470588">
        <w:rPr>
          <w:vertAlign w:val="superscript"/>
        </w:rPr>
        <w:fldChar w:fldCharType="begin"/>
      </w:r>
      <w:r w:rsidR="0000489A" w:rsidRPr="00470588">
        <w:rPr>
          <w:vertAlign w:val="superscript"/>
        </w:rPr>
        <w:instrText xml:space="preserve"> NOTEREF _Ref177055521 \h </w:instrText>
      </w:r>
      <w:r w:rsidR="0000489A" w:rsidRPr="00470588">
        <w:rPr>
          <w:vertAlign w:val="superscript"/>
        </w:rPr>
      </w:r>
      <w:r w:rsidR="0000489A" w:rsidRPr="00470588">
        <w:rPr>
          <w:vertAlign w:val="superscript"/>
        </w:rPr>
        <w:fldChar w:fldCharType="separate"/>
      </w:r>
      <w:r w:rsidR="0043049E">
        <w:rPr>
          <w:vertAlign w:val="superscript"/>
        </w:rPr>
        <w:t>5</w:t>
      </w:r>
      <w:r w:rsidR="0000489A" w:rsidRPr="00470588">
        <w:rPr>
          <w:vertAlign w:val="superscript"/>
        </w:rPr>
        <w:fldChar w:fldCharType="end"/>
      </w:r>
      <w:r w:rsidRPr="00470588">
        <w:rPr>
          <w:vertAlign w:val="superscript"/>
        </w:rPr>
        <w:t>)</w:t>
      </w:r>
      <w:bookmarkEnd w:id="28"/>
      <w:r w:rsidRPr="00470588">
        <w:t xml:space="preserve"> </w:t>
      </w:r>
    </w:p>
    <w:p w14:paraId="40364CEC" w14:textId="7A944F36" w:rsidR="00F06E56" w:rsidRPr="00470588" w:rsidRDefault="00F06E56" w:rsidP="00F06E56">
      <w:r w:rsidRPr="00470588">
        <w:t>Los defectos fisiopatológicos centrales en esta enfermedad incluyen la resistencia a la insulina en el hígado, músculo, tejido adiposo junto a la ya mencionada falla eventual de las células β. La resistencia a la insulina es la anomalía metabólica más temprana que está presente durante años antes del inicio de la DM tipo 2. El sobrepeso/obesidad, el aumento continuo de peso, el grado de aumento de peso, el aumento de los percentiles del índice de masa corporal en general y la consecuente a la resistencia a la insulina, son los factores críticos asociados al desarrollo de DM tipo 2 desde edades muy tempranas.</w:t>
      </w:r>
      <w:bookmarkStart w:id="29" w:name="_Hlk119437074"/>
      <w:r w:rsidRPr="00470588">
        <w:rPr>
          <w:vertAlign w:val="superscript"/>
        </w:rPr>
        <w:t>(</w:t>
      </w:r>
      <w:bookmarkStart w:id="30" w:name="_Ref177055635"/>
      <w:r w:rsidR="0000489A" w:rsidRPr="00470588">
        <w:rPr>
          <w:rStyle w:val="EndnoteReference"/>
        </w:rPr>
        <w:endnoteReference w:id="17"/>
      </w:r>
      <w:bookmarkEnd w:id="30"/>
      <w:r w:rsidRPr="00470588">
        <w:rPr>
          <w:vertAlign w:val="superscript"/>
        </w:rPr>
        <w:t>,</w:t>
      </w:r>
      <w:bookmarkStart w:id="31" w:name="_Ref177055644"/>
      <w:r w:rsidR="0000489A" w:rsidRPr="00470588">
        <w:rPr>
          <w:rStyle w:val="EndnoteReference"/>
        </w:rPr>
        <w:endnoteReference w:id="18"/>
      </w:r>
      <w:bookmarkEnd w:id="31"/>
      <w:r w:rsidRPr="00470588">
        <w:rPr>
          <w:vertAlign w:val="superscript"/>
        </w:rPr>
        <w:t>)</w:t>
      </w:r>
      <w:bookmarkEnd w:id="29"/>
    </w:p>
    <w:p w14:paraId="25EEE590" w14:textId="55BA3187" w:rsidR="00F06E56" w:rsidRPr="00470588" w:rsidRDefault="00F06E56" w:rsidP="004D5B70">
      <w:r w:rsidRPr="00470588">
        <w:t>La disminución de la sensibilidad a la insulina anuncia la progresión de la tolerancia normal a la glucosa, a la glucosa alterada en ayunas, a la tolerancia a la glucosa alterada y a la DM tipo 2. Una disminución de la primera fase de la secreción de insulina puede progresar a secreción defectuosa de insulina en segunda fase. La hipersecreción compensatoria de insulina exacerba el estrés oxidativo, la rápida disminución de la función de las células β y, en última instancia, conduce a la secreción atenuada de insulina. La hiperglucemia persistente exacerba aún más el daño de las células β, proceso que perpetúa el daño metabólico.</w:t>
      </w:r>
      <w:bookmarkStart w:id="32" w:name="_Hlk119437159"/>
      <w:r w:rsidRPr="00470588">
        <w:rPr>
          <w:vertAlign w:val="superscript"/>
        </w:rPr>
        <w:t>(</w:t>
      </w:r>
      <w:r w:rsidR="00236CDC" w:rsidRPr="00470588">
        <w:rPr>
          <w:vertAlign w:val="superscript"/>
        </w:rPr>
        <w:fldChar w:fldCharType="begin"/>
      </w:r>
      <w:r w:rsidR="00236CDC" w:rsidRPr="00470588">
        <w:rPr>
          <w:vertAlign w:val="superscript"/>
        </w:rPr>
        <w:instrText xml:space="preserve"> NOTEREF _Ref177055635 \h </w:instrText>
      </w:r>
      <w:r w:rsidR="00236CDC" w:rsidRPr="00470588">
        <w:rPr>
          <w:vertAlign w:val="superscript"/>
        </w:rPr>
      </w:r>
      <w:r w:rsidR="00236CDC" w:rsidRPr="00470588">
        <w:rPr>
          <w:vertAlign w:val="superscript"/>
        </w:rPr>
        <w:fldChar w:fldCharType="separate"/>
      </w:r>
      <w:r w:rsidR="0043049E">
        <w:rPr>
          <w:vertAlign w:val="superscript"/>
        </w:rPr>
        <w:t>32</w:t>
      </w:r>
      <w:r w:rsidR="00236CDC" w:rsidRPr="00470588">
        <w:rPr>
          <w:vertAlign w:val="superscript"/>
        </w:rPr>
        <w:fldChar w:fldCharType="end"/>
      </w:r>
      <w:r w:rsidR="00236CDC" w:rsidRPr="00470588">
        <w:rPr>
          <w:vertAlign w:val="superscript"/>
        </w:rPr>
        <w:t>,</w:t>
      </w:r>
      <w:r w:rsidR="00236CDC" w:rsidRPr="00470588">
        <w:rPr>
          <w:vertAlign w:val="superscript"/>
        </w:rPr>
        <w:fldChar w:fldCharType="begin"/>
      </w:r>
      <w:r w:rsidR="00236CDC" w:rsidRPr="00470588">
        <w:rPr>
          <w:vertAlign w:val="superscript"/>
        </w:rPr>
        <w:instrText xml:space="preserve"> NOTEREF _Ref177055644 \h </w:instrText>
      </w:r>
      <w:r w:rsidR="00236CDC" w:rsidRPr="00470588">
        <w:rPr>
          <w:vertAlign w:val="superscript"/>
        </w:rPr>
      </w:r>
      <w:r w:rsidR="00236CDC" w:rsidRPr="00470588">
        <w:rPr>
          <w:vertAlign w:val="superscript"/>
        </w:rPr>
        <w:fldChar w:fldCharType="separate"/>
      </w:r>
      <w:r w:rsidR="0043049E">
        <w:rPr>
          <w:vertAlign w:val="superscript"/>
        </w:rPr>
        <w:t>33</w:t>
      </w:r>
      <w:r w:rsidR="00236CDC" w:rsidRPr="00470588">
        <w:rPr>
          <w:vertAlign w:val="superscript"/>
        </w:rPr>
        <w:fldChar w:fldCharType="end"/>
      </w:r>
      <w:r w:rsidRPr="00470588">
        <w:rPr>
          <w:vertAlign w:val="superscript"/>
        </w:rPr>
        <w:t>)</w:t>
      </w:r>
      <w:bookmarkEnd w:id="32"/>
    </w:p>
    <w:p w14:paraId="63AB03EA" w14:textId="0B68DF38" w:rsidR="004D5B70" w:rsidRPr="00470588" w:rsidRDefault="0074304F" w:rsidP="004D5B70">
      <w:pPr>
        <w:rPr>
          <w:vertAlign w:val="superscript"/>
        </w:rPr>
      </w:pPr>
      <w:r w:rsidRPr="00470588">
        <w:t>Con relación a las NPD,</w:t>
      </w:r>
      <w:r w:rsidR="0057571F" w:rsidRPr="00470588">
        <w:t xml:space="preserve">   la</w:t>
      </w:r>
      <w:r w:rsidRPr="00470588">
        <w:t>s</w:t>
      </w:r>
      <w:r w:rsidR="0057571F" w:rsidRPr="00470588">
        <w:t xml:space="preserve">   </w:t>
      </w:r>
      <w:r w:rsidR="004E2D64" w:rsidRPr="00470588">
        <w:t>guías de conducta de la ADA</w:t>
      </w:r>
      <w:r w:rsidR="004E2D64" w:rsidRPr="00470588">
        <w:rPr>
          <w:i/>
          <w:iCs/>
        </w:rPr>
        <w:t xml:space="preserve"> </w:t>
      </w:r>
      <w:r w:rsidR="0057571F" w:rsidRPr="00470588">
        <w:t>(</w:t>
      </w:r>
      <w:r w:rsidR="004E2D64" w:rsidRPr="00470588">
        <w:rPr>
          <w:i/>
          <w:iCs/>
        </w:rPr>
        <w:t>American    Diabetes   Association</w:t>
      </w:r>
      <w:r w:rsidR="0057571F" w:rsidRPr="00470588">
        <w:t xml:space="preserve">) </w:t>
      </w:r>
      <w:r w:rsidR="004E2D64" w:rsidRPr="00470588">
        <w:t>publicadas en el 2020</w:t>
      </w:r>
      <w:r w:rsidRPr="00470588">
        <w:t xml:space="preserve"> las definen como</w:t>
      </w:r>
      <w:r w:rsidR="004E2D64" w:rsidRPr="00470588">
        <w:t xml:space="preserve">: </w:t>
      </w:r>
      <w:r w:rsidR="0057571F" w:rsidRPr="00470588">
        <w:t xml:space="preserve">“un grupo heterogéneo de   trastornos con   diversas manifestaciones   clínicas”.  </w:t>
      </w:r>
      <w:r w:rsidR="004D5B70" w:rsidRPr="00470588">
        <w:t xml:space="preserve">Así miso explica que en el </w:t>
      </w:r>
      <w:r w:rsidR="004D5B70" w:rsidRPr="00470588">
        <w:lastRenderedPageBreak/>
        <w:t>paciente con DM se deben tener en cuenta los siguientes aspectos relacionados con la NPD:</w:t>
      </w:r>
      <w:r w:rsidR="004D5B70" w:rsidRPr="00470588">
        <w:rPr>
          <w:vertAlign w:val="superscript"/>
        </w:rPr>
        <w:t xml:space="preserve"> (</w:t>
      </w:r>
      <w:r w:rsidR="004D5B70" w:rsidRPr="00470588">
        <w:rPr>
          <w:rStyle w:val="EndnoteReference"/>
        </w:rPr>
        <w:endnoteReference w:id="19"/>
      </w:r>
      <w:r w:rsidR="004D5B70" w:rsidRPr="00470588">
        <w:rPr>
          <w:vertAlign w:val="superscript"/>
        </w:rPr>
        <w:t xml:space="preserve">, </w:t>
      </w:r>
      <w:r w:rsidR="004D5B70" w:rsidRPr="00470588">
        <w:rPr>
          <w:rStyle w:val="EndnoteReference"/>
        </w:rPr>
        <w:endnoteReference w:id="20"/>
      </w:r>
      <w:r w:rsidR="004D5B70" w:rsidRPr="00470588">
        <w:rPr>
          <w:vertAlign w:val="superscript"/>
        </w:rPr>
        <w:t>)</w:t>
      </w:r>
    </w:p>
    <w:p w14:paraId="6A65C3E1" w14:textId="4837309D" w:rsidR="004D5B70" w:rsidRPr="00470588" w:rsidRDefault="004D5B70" w:rsidP="004D5B70">
      <w:pPr>
        <w:pStyle w:val="ListParagraph"/>
        <w:numPr>
          <w:ilvl w:val="0"/>
          <w:numId w:val="1"/>
        </w:numPr>
      </w:pPr>
      <w:r w:rsidRPr="00470588">
        <w:t xml:space="preserve">La </w:t>
      </w:r>
      <w:r w:rsidR="00F32AAC" w:rsidRPr="00470588">
        <w:t>NPD</w:t>
      </w:r>
      <w:r w:rsidRPr="00470588">
        <w:t xml:space="preserve"> es un diagnóstico de exclusión. Las neuropatías no diabéticas pueden estar presentes en pacientes con diabetes y pueden ser tratables.</w:t>
      </w:r>
    </w:p>
    <w:p w14:paraId="11F427F1" w14:textId="2989273C" w:rsidR="004D5B70" w:rsidRPr="00470588" w:rsidRDefault="004D5B70" w:rsidP="004D5B70">
      <w:pPr>
        <w:pStyle w:val="ListParagraph"/>
        <w:numPr>
          <w:ilvl w:val="0"/>
          <w:numId w:val="1"/>
        </w:numPr>
      </w:pPr>
      <w:r w:rsidRPr="00470588">
        <w:t>Existen numerosas opciones de tratamiento para la NPD sintomática.</w:t>
      </w:r>
    </w:p>
    <w:p w14:paraId="3F7701A2" w14:textId="3717312E" w:rsidR="004D5B70" w:rsidRPr="00470588" w:rsidRDefault="004D5B70" w:rsidP="004D5B70">
      <w:pPr>
        <w:pStyle w:val="ListParagraph"/>
        <w:numPr>
          <w:ilvl w:val="0"/>
          <w:numId w:val="1"/>
        </w:numPr>
      </w:pPr>
      <w:r w:rsidRPr="00470588">
        <w:t>El reconocimiento y el tratamiento de la neuropatía autónoma pueden mejorar los síntomas, reducir las secuelas y mejorar la calidad de vida.</w:t>
      </w:r>
    </w:p>
    <w:p w14:paraId="2EB4BA0D" w14:textId="497521B8" w:rsidR="004D5B70" w:rsidRPr="00470588" w:rsidRDefault="004D5B70" w:rsidP="004D5B70">
      <w:pPr>
        <w:pStyle w:val="ListParagraph"/>
        <w:numPr>
          <w:ilvl w:val="0"/>
          <w:numId w:val="1"/>
        </w:numPr>
      </w:pPr>
      <w:r w:rsidRPr="00470588">
        <w:t>Hasta el 50% de la NPD puede ser sintomática. Si no se reconoce y no se implementa un cuidado preventivo de los pies, los pacientes corren el riesgo de sufrir lesiones en los pies insensibles.</w:t>
      </w:r>
    </w:p>
    <w:p w14:paraId="28FBF7FC" w14:textId="4506ECA2" w:rsidR="001F2E8D" w:rsidRPr="00470588" w:rsidRDefault="004D5B70" w:rsidP="001F2E8D">
      <w:r w:rsidRPr="00470588">
        <w:t>Este último aspecto es de primordial importancia,</w:t>
      </w:r>
      <w:r w:rsidR="00351613" w:rsidRPr="00470588">
        <w:t xml:space="preserve"> </w:t>
      </w:r>
      <w:r w:rsidRPr="00470588">
        <w:t>por tal razón el</w:t>
      </w:r>
      <w:r w:rsidR="00351613" w:rsidRPr="00470588">
        <w:t xml:space="preserve"> síndrome de pie diabético (SPD) varias instituciones y asociaciones médicas han brindado su definición de esta condición. La </w:t>
      </w:r>
      <w:r w:rsidR="001F2E8D" w:rsidRPr="00470588">
        <w:t>Asociación Latinoamericana de Diabetes</w:t>
      </w:r>
      <w:r w:rsidR="00351613" w:rsidRPr="00470588">
        <w:t xml:space="preserve"> </w:t>
      </w:r>
      <w:r w:rsidR="001F2E8D" w:rsidRPr="00470588">
        <w:t>(ALAD) define al SPD como</w:t>
      </w:r>
      <w:r w:rsidR="00351613" w:rsidRPr="00470588">
        <w:t>: "</w:t>
      </w:r>
      <w:r w:rsidR="001F2E8D" w:rsidRPr="00470588">
        <w:t>la condición en que la neuropatía, la isquemia y la infección provocan destrucción tisular en uno o ambos pies de los pacientes con DM, resultando en morbilidad, discapacidad y posible mortalidad prematura</w:t>
      </w:r>
      <w:r w:rsidR="00351613" w:rsidRPr="00470588">
        <w:t>"</w:t>
      </w:r>
      <w:r w:rsidR="001F2E8D" w:rsidRPr="00470588">
        <w:t>.</w:t>
      </w:r>
      <w:r w:rsidR="00351613" w:rsidRPr="00470588">
        <w:t xml:space="preserve"> </w:t>
      </w:r>
      <w:r w:rsidR="001F2E8D" w:rsidRPr="00470588">
        <w:t xml:space="preserve">La Sociedad de Angiología y Cirugía Vascular </w:t>
      </w:r>
      <w:r w:rsidR="00351613" w:rsidRPr="00470588">
        <w:t>lo plantea como</w:t>
      </w:r>
      <w:r w:rsidR="001F2E8D" w:rsidRPr="00470588">
        <w:t>: “Una alteración clínica, de etiología neuropática, e inducida por la hiperglucemia mantenida, en la que con o sin coexistencia de isquemia y previo desencadenante traumático, produce lesión y/o ulceración del pie”.</w:t>
      </w:r>
      <w:bookmarkStart w:id="35" w:name="_Hlk176892302"/>
      <w:r w:rsidR="00351613" w:rsidRPr="00470588">
        <w:rPr>
          <w:vertAlign w:val="superscript"/>
        </w:rPr>
        <w:t>(</w:t>
      </w:r>
      <w:bookmarkStart w:id="36" w:name="_Ref176893661"/>
      <w:r w:rsidR="00E64E61" w:rsidRPr="00470588">
        <w:rPr>
          <w:rStyle w:val="EndnoteReference"/>
        </w:rPr>
        <w:endnoteReference w:id="21"/>
      </w:r>
      <w:bookmarkEnd w:id="36"/>
      <w:r w:rsidR="00351613" w:rsidRPr="00470588">
        <w:rPr>
          <w:vertAlign w:val="superscript"/>
        </w:rPr>
        <w:t>)</w:t>
      </w:r>
      <w:bookmarkEnd w:id="35"/>
    </w:p>
    <w:p w14:paraId="7C1DB3F6" w14:textId="12CEA7D0" w:rsidR="001F2E8D" w:rsidRPr="00470588" w:rsidRDefault="001F2E8D" w:rsidP="007F23AE">
      <w:r w:rsidRPr="00470588">
        <w:t>La Organización Mundial de la Salud (OMS) lo define como: “La presencia de ulceración, infección y/o gangrena en el pie asociada a ND y a diferentes grados de enfermedad vascular periférica como consecuencia de la interacción compleja de diferentes factores inducidos por una hiperglucemia mantenida”.</w:t>
      </w:r>
      <w:r w:rsidR="00351613" w:rsidRPr="00470588">
        <w:t xml:space="preserve"> Por su parte e</w:t>
      </w:r>
      <w:r w:rsidRPr="00470588">
        <w:t xml:space="preserve">l </w:t>
      </w:r>
      <w:r w:rsidR="00351613" w:rsidRPr="00470588">
        <w:t xml:space="preserve">IWGDF </w:t>
      </w:r>
      <w:r w:rsidRPr="00470588">
        <w:t>(</w:t>
      </w:r>
      <w:r w:rsidRPr="00470588">
        <w:rPr>
          <w:i/>
          <w:iCs/>
        </w:rPr>
        <w:t>The International Working Group on the Diabetic Foot</w:t>
      </w:r>
      <w:r w:rsidRPr="00470588">
        <w:t xml:space="preserve">) da la </w:t>
      </w:r>
      <w:r w:rsidRPr="00470588">
        <w:lastRenderedPageBreak/>
        <w:t>siguiente definición: “Infección, ulceración o destrucción de los tejidos profundos del pie asociado a neuropatía o enfermedad arterial periférica en las extremidades inferiores de los pacientes con DM</w:t>
      </w:r>
      <w:r w:rsidR="00351613" w:rsidRPr="00470588">
        <w:t>".</w:t>
      </w:r>
      <w:r w:rsidR="00351613" w:rsidRPr="00470588">
        <w:rPr>
          <w:vertAlign w:val="superscript"/>
        </w:rPr>
        <w:t>(</w:t>
      </w:r>
      <w:r w:rsidR="002E4FA3" w:rsidRPr="00470588">
        <w:rPr>
          <w:vertAlign w:val="superscript"/>
        </w:rPr>
        <w:fldChar w:fldCharType="begin"/>
      </w:r>
      <w:r w:rsidR="002E4FA3" w:rsidRPr="00470588">
        <w:rPr>
          <w:vertAlign w:val="superscript"/>
        </w:rPr>
        <w:instrText xml:space="preserve"> NOTEREF _Ref176893661 \h </w:instrText>
      </w:r>
      <w:r w:rsidR="002E4FA3" w:rsidRPr="00470588">
        <w:rPr>
          <w:vertAlign w:val="superscript"/>
        </w:rPr>
      </w:r>
      <w:r w:rsidR="002E4FA3" w:rsidRPr="00470588">
        <w:rPr>
          <w:vertAlign w:val="superscript"/>
        </w:rPr>
        <w:fldChar w:fldCharType="separate"/>
      </w:r>
      <w:r w:rsidR="0043049E">
        <w:rPr>
          <w:vertAlign w:val="superscript"/>
        </w:rPr>
        <w:t>36</w:t>
      </w:r>
      <w:r w:rsidR="002E4FA3" w:rsidRPr="00470588">
        <w:rPr>
          <w:vertAlign w:val="superscript"/>
        </w:rPr>
        <w:fldChar w:fldCharType="end"/>
      </w:r>
      <w:r w:rsidR="00351613" w:rsidRPr="00470588">
        <w:rPr>
          <w:vertAlign w:val="superscript"/>
        </w:rPr>
        <w:t>)</w:t>
      </w:r>
    </w:p>
    <w:p w14:paraId="2EEFBA24" w14:textId="1F1A6BB5" w:rsidR="007962F3" w:rsidRPr="00470588" w:rsidRDefault="007962F3" w:rsidP="007F23AE">
      <w:r w:rsidRPr="00470588">
        <w:t>Por otra parte, además de los factores de riesgo tradicionales como el control glucémico, la edad y la duración de la diabetes, los factores de riesgo cardiovascular (obesidad, hiperlipidemia, hipertensión y tabaquismo) y, en particular, los factores de riesgo socioeconómicos han surgido como predictores muy sólidos de NPD en la DM tipo 1.</w:t>
      </w:r>
      <w:r w:rsidRPr="00470588">
        <w:rPr>
          <w:vertAlign w:val="superscript"/>
        </w:rPr>
        <w:t>(</w:t>
      </w:r>
      <w:bookmarkStart w:id="37" w:name="_Ref176886094"/>
      <w:r w:rsidR="0032393E" w:rsidRPr="00470588">
        <w:rPr>
          <w:rStyle w:val="EndnoteReference"/>
        </w:rPr>
        <w:endnoteReference w:id="22"/>
      </w:r>
      <w:bookmarkEnd w:id="37"/>
      <w:r w:rsidRPr="00470588">
        <w:rPr>
          <w:vertAlign w:val="superscript"/>
        </w:rPr>
        <w:t>)</w:t>
      </w:r>
      <w:r w:rsidR="006F40F6" w:rsidRPr="00470588">
        <w:t xml:space="preserve"> Con relación a la DM tipo 2 también se han señalado estos factores como predisponentes a la NPD </w:t>
      </w:r>
      <w:r w:rsidR="003F3B27" w:rsidRPr="00470588">
        <w:rPr>
          <w:vertAlign w:val="superscript"/>
        </w:rPr>
        <w:t>(</w:t>
      </w:r>
      <w:r w:rsidR="003F3B27" w:rsidRPr="00470588">
        <w:rPr>
          <w:rStyle w:val="EndnoteReference"/>
        </w:rPr>
        <w:endnoteReference w:id="23"/>
      </w:r>
      <w:r w:rsidR="003F3B27" w:rsidRPr="00470588">
        <w:rPr>
          <w:vertAlign w:val="superscript"/>
        </w:rPr>
        <w:t>)</w:t>
      </w:r>
    </w:p>
    <w:p w14:paraId="1142BE4E" w14:textId="58617C70" w:rsidR="00A13C31" w:rsidRPr="00470588" w:rsidRDefault="00A13C31" w:rsidP="007F23AE">
      <w:r w:rsidRPr="00470588">
        <w:t>Si bien ha habido avances en la identificación de la fisiopatología de la NPD, la comprensión de este proceso sigue siendo compleja. De forma general se hace evidente que l</w:t>
      </w:r>
      <w:r w:rsidR="007F23AE" w:rsidRPr="00470588">
        <w:t xml:space="preserve">a </w:t>
      </w:r>
      <w:r w:rsidRPr="00470588">
        <w:t xml:space="preserve">DM </w:t>
      </w:r>
      <w:r w:rsidR="007F23AE" w:rsidRPr="00470588">
        <w:t xml:space="preserve">afecta con frecuencia al sistema nervioso periférico. Esto se debe al hecho de que los cuerpos celulares de las neuronas sensoriales del </w:t>
      </w:r>
      <w:r w:rsidR="00540422" w:rsidRPr="00470588">
        <w:t>SNP</w:t>
      </w:r>
      <w:r w:rsidR="007F23AE" w:rsidRPr="00470588">
        <w:t xml:space="preserve"> se encuentran fuera de la barrera hematoencefálica. Son más vulnerables a las lesiones asociadas a la diabetes que las neuronas motoras.</w:t>
      </w:r>
      <w:r w:rsidRPr="00470588">
        <w:rPr>
          <w:vertAlign w:val="superscript"/>
        </w:rPr>
        <w:t>(</w:t>
      </w:r>
      <w:bookmarkStart w:id="40" w:name="_Ref176886089"/>
      <w:r w:rsidRPr="00470588">
        <w:rPr>
          <w:rStyle w:val="EndnoteReference"/>
        </w:rPr>
        <w:endnoteReference w:id="24"/>
      </w:r>
      <w:bookmarkEnd w:id="40"/>
      <w:r w:rsidRPr="00470588">
        <w:rPr>
          <w:vertAlign w:val="superscript"/>
        </w:rPr>
        <w:t>)</w:t>
      </w:r>
    </w:p>
    <w:p w14:paraId="377CD72B" w14:textId="7CC2CFBF" w:rsidR="001A31BB" w:rsidRPr="00470588" w:rsidRDefault="00540422" w:rsidP="001A31BB">
      <w:r w:rsidRPr="00470588">
        <w:t xml:space="preserve">La NPD se asocia con hiperglucemia, hiperlipidemia, resistencia a la insulina y catabolismo proteico. Inducida por hiperglucemia, el estrés oxidativo y las especies reactivas de oxígeno provocan lesión del nervio periférico. </w:t>
      </w:r>
      <w:r w:rsidR="001A31BB" w:rsidRPr="00470588">
        <w:t>Estos nervios están compuestos en su mayoría de pequeñas neuronas amielínicas llamadas fibras C que son neuronas sensoriales y transportan información nociceptiva, particularmente sobre el calor y el dolor. Además, están las fibras Aδ pequeñas y finamente mielinizadas transmiten información sobre la presión, el tacto y el frío. Las fibras completamente mielinizadas de diferentes diámetros, Aβ y Aα, denominadas fibras grandes, son responsables de la detección de vibración y posición</w:t>
      </w:r>
      <w:r w:rsidR="005264CB" w:rsidRPr="00470588">
        <w:t xml:space="preserve">. </w:t>
      </w:r>
      <w:r w:rsidR="001A31BB" w:rsidRPr="00470588">
        <w:t xml:space="preserve">El daño precoz como la degeneración y perdidas de las </w:t>
      </w:r>
      <w:r w:rsidR="001A31BB" w:rsidRPr="00470588">
        <w:lastRenderedPageBreak/>
        <w:t>fibras C y Aδ es observado en pacientes que comienzan con dolor en los pies que puede ser punzante o quemante. También se pierden fibras largas y estos pacientes sufren de perdida de propioce</w:t>
      </w:r>
      <w:r w:rsidR="003F3B27" w:rsidRPr="00470588">
        <w:t>p</w:t>
      </w:r>
      <w:r w:rsidR="001A31BB" w:rsidRPr="00470588">
        <w:t>ción y adormecimiento en los pies que se instaura de distal a proximal mientras evoluciona</w:t>
      </w:r>
      <w:r w:rsidR="0083746F" w:rsidRPr="00470588">
        <w:t xml:space="preserve"> en el tiempo</w:t>
      </w:r>
      <w:r w:rsidR="001A31BB" w:rsidRPr="00470588">
        <w:t>.</w:t>
      </w:r>
      <w:r w:rsidR="00F47826" w:rsidRPr="00470588">
        <w:rPr>
          <w:vertAlign w:val="superscript"/>
        </w:rPr>
        <w:t>(</w:t>
      </w:r>
      <w:r w:rsidR="003A6618" w:rsidRPr="00470588">
        <w:rPr>
          <w:vertAlign w:val="superscript"/>
        </w:rPr>
        <w:fldChar w:fldCharType="begin"/>
      </w:r>
      <w:r w:rsidR="003A6618" w:rsidRPr="00470588">
        <w:rPr>
          <w:vertAlign w:val="superscript"/>
        </w:rPr>
        <w:instrText xml:space="preserve"> NOTEREF _Ref176886089 \h </w:instrText>
      </w:r>
      <w:r w:rsidR="003A6618" w:rsidRPr="00470588">
        <w:rPr>
          <w:vertAlign w:val="superscript"/>
        </w:rPr>
      </w:r>
      <w:r w:rsidR="003A6618" w:rsidRPr="00470588">
        <w:rPr>
          <w:vertAlign w:val="superscript"/>
        </w:rPr>
        <w:fldChar w:fldCharType="separate"/>
      </w:r>
      <w:r w:rsidR="0043049E">
        <w:rPr>
          <w:vertAlign w:val="superscript"/>
        </w:rPr>
        <w:t>39</w:t>
      </w:r>
      <w:r w:rsidR="003A6618" w:rsidRPr="00470588">
        <w:rPr>
          <w:vertAlign w:val="superscript"/>
        </w:rPr>
        <w:fldChar w:fldCharType="end"/>
      </w:r>
      <w:r w:rsidR="003A6618" w:rsidRPr="00470588">
        <w:rPr>
          <w:vertAlign w:val="superscript"/>
        </w:rPr>
        <w:t>,</w:t>
      </w:r>
      <w:r w:rsidR="003A6618" w:rsidRPr="00470588">
        <w:rPr>
          <w:vertAlign w:val="superscript"/>
        </w:rPr>
        <w:fldChar w:fldCharType="begin"/>
      </w:r>
      <w:r w:rsidR="003A6618" w:rsidRPr="00470588">
        <w:rPr>
          <w:vertAlign w:val="superscript"/>
        </w:rPr>
        <w:instrText xml:space="preserve"> NOTEREF _Ref176886094 \h </w:instrText>
      </w:r>
      <w:r w:rsidR="003A6618" w:rsidRPr="00470588">
        <w:rPr>
          <w:vertAlign w:val="superscript"/>
        </w:rPr>
      </w:r>
      <w:r w:rsidR="003A6618" w:rsidRPr="00470588">
        <w:rPr>
          <w:vertAlign w:val="superscript"/>
        </w:rPr>
        <w:fldChar w:fldCharType="separate"/>
      </w:r>
      <w:r w:rsidR="0043049E">
        <w:rPr>
          <w:vertAlign w:val="superscript"/>
        </w:rPr>
        <w:t>37</w:t>
      </w:r>
      <w:r w:rsidR="003A6618" w:rsidRPr="00470588">
        <w:rPr>
          <w:vertAlign w:val="superscript"/>
        </w:rPr>
        <w:fldChar w:fldCharType="end"/>
      </w:r>
      <w:r w:rsidR="00F47826" w:rsidRPr="00470588">
        <w:rPr>
          <w:vertAlign w:val="superscript"/>
        </w:rPr>
        <w:t>)</w:t>
      </w:r>
      <w:r w:rsidR="001A31BB" w:rsidRPr="00470588">
        <w:t xml:space="preserve"> </w:t>
      </w:r>
    </w:p>
    <w:p w14:paraId="225713F9" w14:textId="017A6C77" w:rsidR="001A31BB" w:rsidRPr="00470588" w:rsidRDefault="00D05203" w:rsidP="00540422">
      <w:r w:rsidRPr="00470588">
        <w:t>Aunque la hiperglucemia es la causa principal del NPD en la DM tipo 1, en la DM tipo 2, la dislipidemia es la primera causa. La DM causa el acumulo de la glucosa y el ácido graso de las células de Schwann. Esto resulta en un depósito por exceso de piruvato que al final conlleva a la instauración de un metabolismo anaeróbico y acumulo de lactato. Esta lactato en exceso conlleva a disfunción mitocondrial y degeneración en las axonas. Las fibras pequeñas y grandes se quedan sin energía y por tanto pierden capacidad funcional y a su degeneración lo cual es más evidente en las partes distales del cuerpo.</w:t>
      </w:r>
      <w:r w:rsidR="003A6618" w:rsidRPr="00470588">
        <w:rPr>
          <w:vertAlign w:val="superscript"/>
        </w:rPr>
        <w:t>(</w:t>
      </w:r>
      <w:r w:rsidR="004C69C6" w:rsidRPr="00470588">
        <w:rPr>
          <w:vertAlign w:val="superscript"/>
        </w:rPr>
        <w:fldChar w:fldCharType="begin"/>
      </w:r>
      <w:r w:rsidR="004C69C6" w:rsidRPr="00470588">
        <w:rPr>
          <w:vertAlign w:val="superscript"/>
        </w:rPr>
        <w:instrText xml:space="preserve"> NOTEREF _Ref176886183 \h </w:instrText>
      </w:r>
      <w:r w:rsidR="004C69C6" w:rsidRPr="00470588">
        <w:rPr>
          <w:vertAlign w:val="superscript"/>
        </w:rPr>
      </w:r>
      <w:r w:rsidR="004C69C6" w:rsidRPr="00470588">
        <w:rPr>
          <w:vertAlign w:val="superscript"/>
        </w:rPr>
        <w:fldChar w:fldCharType="separate"/>
      </w:r>
      <w:r w:rsidR="0043049E">
        <w:rPr>
          <w:vertAlign w:val="superscript"/>
        </w:rPr>
        <w:t>13</w:t>
      </w:r>
      <w:r w:rsidR="004C69C6" w:rsidRPr="00470588">
        <w:rPr>
          <w:vertAlign w:val="superscript"/>
        </w:rPr>
        <w:fldChar w:fldCharType="end"/>
      </w:r>
      <w:r w:rsidR="004C69C6" w:rsidRPr="00470588">
        <w:rPr>
          <w:vertAlign w:val="superscript"/>
        </w:rPr>
        <w:t>,</w:t>
      </w:r>
      <w:r w:rsidR="004C69C6" w:rsidRPr="00470588">
        <w:rPr>
          <w:vertAlign w:val="superscript"/>
        </w:rPr>
        <w:fldChar w:fldCharType="begin"/>
      </w:r>
      <w:r w:rsidR="004C69C6" w:rsidRPr="00470588">
        <w:rPr>
          <w:vertAlign w:val="superscript"/>
        </w:rPr>
        <w:instrText xml:space="preserve"> NOTEREF _Ref176886094 \h </w:instrText>
      </w:r>
      <w:r w:rsidR="004C69C6" w:rsidRPr="00470588">
        <w:rPr>
          <w:vertAlign w:val="superscript"/>
        </w:rPr>
      </w:r>
      <w:r w:rsidR="004C69C6" w:rsidRPr="00470588">
        <w:rPr>
          <w:vertAlign w:val="superscript"/>
        </w:rPr>
        <w:fldChar w:fldCharType="separate"/>
      </w:r>
      <w:r w:rsidR="0043049E">
        <w:rPr>
          <w:vertAlign w:val="superscript"/>
        </w:rPr>
        <w:t>37</w:t>
      </w:r>
      <w:r w:rsidR="004C69C6" w:rsidRPr="00470588">
        <w:rPr>
          <w:vertAlign w:val="superscript"/>
        </w:rPr>
        <w:fldChar w:fldCharType="end"/>
      </w:r>
      <w:r w:rsidR="003A6618" w:rsidRPr="00470588">
        <w:rPr>
          <w:vertAlign w:val="superscript"/>
        </w:rPr>
        <w:t>)</w:t>
      </w:r>
      <w:r w:rsidRPr="00470588">
        <w:t xml:space="preserve"> </w:t>
      </w:r>
    </w:p>
    <w:p w14:paraId="71790163" w14:textId="1ABA9768" w:rsidR="00540422" w:rsidRPr="00470588" w:rsidRDefault="00D05203" w:rsidP="00540422">
      <w:r w:rsidRPr="00470588">
        <w:t xml:space="preserve">Por otro lado, los </w:t>
      </w:r>
      <w:r w:rsidR="00540422" w:rsidRPr="00470588">
        <w:t>datos experimentales han demostrado la presencia de estrés nitro-oxidativo en los ganglios de la raíz dorsal, los axones y Células de Schwann con deterioro de la conducción nerviosa, disfunción neurovascular, apoptosis y déficits sensoriales. También hay activación de la poli (ADP-ribosa) polimerasa, vías de poliol, hexosamina y proteína quinasa C (PKC) y acumulación de productos finales de glicación que culminan en disfunción y daño axonal.</w:t>
      </w:r>
      <w:r w:rsidR="00540422" w:rsidRPr="00470588">
        <w:rPr>
          <w:vertAlign w:val="superscript"/>
        </w:rPr>
        <w:t>(</w:t>
      </w:r>
      <w:r w:rsidR="00540422" w:rsidRPr="00470588">
        <w:rPr>
          <w:vertAlign w:val="superscript"/>
        </w:rPr>
        <w:fldChar w:fldCharType="begin"/>
      </w:r>
      <w:r w:rsidR="00540422" w:rsidRPr="00470588">
        <w:rPr>
          <w:vertAlign w:val="superscript"/>
        </w:rPr>
        <w:instrText xml:space="preserve"> NOTEREF _Ref176883674 \h </w:instrText>
      </w:r>
      <w:r w:rsidR="00540422" w:rsidRPr="00470588">
        <w:rPr>
          <w:vertAlign w:val="superscript"/>
        </w:rPr>
      </w:r>
      <w:r w:rsidR="00540422" w:rsidRPr="00470588">
        <w:rPr>
          <w:vertAlign w:val="superscript"/>
        </w:rPr>
        <w:fldChar w:fldCharType="separate"/>
      </w:r>
      <w:r w:rsidR="0043049E">
        <w:rPr>
          <w:vertAlign w:val="superscript"/>
        </w:rPr>
        <w:t>12</w:t>
      </w:r>
      <w:r w:rsidR="00540422" w:rsidRPr="00470588">
        <w:rPr>
          <w:vertAlign w:val="superscript"/>
        </w:rPr>
        <w:fldChar w:fldCharType="end"/>
      </w:r>
      <w:r w:rsidR="00540422" w:rsidRPr="00470588">
        <w:rPr>
          <w:vertAlign w:val="superscript"/>
        </w:rPr>
        <w:t>)</w:t>
      </w:r>
    </w:p>
    <w:p w14:paraId="4A37289A" w14:textId="26D5AE9B" w:rsidR="00540422" w:rsidRPr="00470588" w:rsidRDefault="00540422" w:rsidP="00540422">
      <w:r w:rsidRPr="00470588">
        <w:t>El aumento del flujo a través de la vía de los polioles conduce a la acumulación de sorbitol y fructosa, agotamiento de mioinositol y reducción de la actividad de la Na+K+- ATPasa. Los déficits microvasculares endoneurales provocan hipoxia e isquemia, generación de especies reactivas de oxígeno (estrés oxidativos), activación del factor de transcripción sensible a redox NFκB y aumento de la actividad de la PKC.</w:t>
      </w:r>
      <w:r w:rsidRPr="00470588">
        <w:rPr>
          <w:vertAlign w:val="superscript"/>
        </w:rPr>
        <w:t>(</w:t>
      </w:r>
      <w:r w:rsidRPr="00470588">
        <w:rPr>
          <w:vertAlign w:val="superscript"/>
        </w:rPr>
        <w:fldChar w:fldCharType="begin"/>
      </w:r>
      <w:r w:rsidRPr="00470588">
        <w:rPr>
          <w:vertAlign w:val="superscript"/>
        </w:rPr>
        <w:instrText xml:space="preserve"> NOTEREF _Ref176883674 \h </w:instrText>
      </w:r>
      <w:r w:rsidRPr="00470588">
        <w:rPr>
          <w:vertAlign w:val="superscript"/>
        </w:rPr>
      </w:r>
      <w:r w:rsidRPr="00470588">
        <w:rPr>
          <w:vertAlign w:val="superscript"/>
        </w:rPr>
        <w:fldChar w:fldCharType="separate"/>
      </w:r>
      <w:r w:rsidR="0043049E">
        <w:rPr>
          <w:vertAlign w:val="superscript"/>
        </w:rPr>
        <w:t>12</w:t>
      </w:r>
      <w:r w:rsidRPr="00470588">
        <w:rPr>
          <w:vertAlign w:val="superscript"/>
        </w:rPr>
        <w:fldChar w:fldCharType="end"/>
      </w:r>
      <w:r w:rsidRPr="00470588">
        <w:rPr>
          <w:vertAlign w:val="superscript"/>
        </w:rPr>
        <w:t>,</w:t>
      </w:r>
      <w:r w:rsidR="0032393E" w:rsidRPr="00470588">
        <w:rPr>
          <w:vertAlign w:val="superscript"/>
        </w:rPr>
        <w:fldChar w:fldCharType="begin"/>
      </w:r>
      <w:r w:rsidR="0032393E" w:rsidRPr="00470588">
        <w:rPr>
          <w:vertAlign w:val="superscript"/>
        </w:rPr>
        <w:instrText xml:space="preserve"> NOTEREF _Ref176886094 \h </w:instrText>
      </w:r>
      <w:r w:rsidR="0032393E" w:rsidRPr="00470588">
        <w:rPr>
          <w:vertAlign w:val="superscript"/>
        </w:rPr>
      </w:r>
      <w:r w:rsidR="0032393E" w:rsidRPr="00470588">
        <w:rPr>
          <w:vertAlign w:val="superscript"/>
        </w:rPr>
        <w:fldChar w:fldCharType="separate"/>
      </w:r>
      <w:r w:rsidR="0043049E">
        <w:rPr>
          <w:vertAlign w:val="superscript"/>
        </w:rPr>
        <w:t>37</w:t>
      </w:r>
      <w:r w:rsidR="0032393E" w:rsidRPr="00470588">
        <w:rPr>
          <w:vertAlign w:val="superscript"/>
        </w:rPr>
        <w:fldChar w:fldCharType="end"/>
      </w:r>
      <w:r w:rsidRPr="00470588">
        <w:rPr>
          <w:vertAlign w:val="superscript"/>
        </w:rPr>
        <w:t>)</w:t>
      </w:r>
    </w:p>
    <w:p w14:paraId="26EB87CC" w14:textId="77777777" w:rsidR="00A13C31" w:rsidRPr="00470588" w:rsidRDefault="00A13C31" w:rsidP="007F23AE"/>
    <w:p w14:paraId="04B99F37" w14:textId="25627EAD" w:rsidR="0094245B" w:rsidRPr="00470588" w:rsidRDefault="0094245B" w:rsidP="0094245B">
      <w:r w:rsidRPr="00470588">
        <w:lastRenderedPageBreak/>
        <w:t>Según autores como Haghgou</w:t>
      </w:r>
      <w:r w:rsidRPr="00470588">
        <w:rPr>
          <w:vertAlign w:val="superscript"/>
        </w:rPr>
        <w:t>(</w:t>
      </w:r>
      <w:r w:rsidRPr="00470588">
        <w:rPr>
          <w:rStyle w:val="EndnoteReference"/>
        </w:rPr>
        <w:endnoteReference w:id="25"/>
      </w:r>
      <w:r w:rsidRPr="00470588">
        <w:rPr>
          <w:vertAlign w:val="superscript"/>
        </w:rPr>
        <w:t>) </w:t>
      </w:r>
      <w:r w:rsidRPr="00470588">
        <w:t xml:space="preserve"> y  Pérez y cols.,</w:t>
      </w:r>
      <w:r w:rsidR="009B2D04" w:rsidRPr="00470588">
        <w:rPr>
          <w:vertAlign w:val="superscript"/>
        </w:rPr>
        <w:t>(</w:t>
      </w:r>
      <w:r w:rsidR="009B2D04" w:rsidRPr="00470588">
        <w:rPr>
          <w:rStyle w:val="EndnoteReference"/>
        </w:rPr>
        <w:endnoteReference w:id="26"/>
      </w:r>
      <w:r w:rsidR="009B2D04" w:rsidRPr="00470588">
        <w:rPr>
          <w:vertAlign w:val="superscript"/>
        </w:rPr>
        <w:t>)</w:t>
      </w:r>
      <w:r w:rsidRPr="00470588">
        <w:t xml:space="preserve"> a quienes citamos "</w:t>
      </w:r>
      <w:r w:rsidR="003F3B27" w:rsidRPr="00470588">
        <w:t>e</w:t>
      </w:r>
      <w:r w:rsidRPr="00470588">
        <w:t xml:space="preserve">xisten varias clasificaciones de la neuropatía diabética. A lo largo de los años diversos autores han dado sus versiones y las han agrupado como sigue: </w:t>
      </w:r>
    </w:p>
    <w:p w14:paraId="601DADA3" w14:textId="77777777" w:rsidR="0094245B" w:rsidRPr="00470588" w:rsidRDefault="0094245B" w:rsidP="0094245B">
      <w:pPr>
        <w:numPr>
          <w:ilvl w:val="0"/>
          <w:numId w:val="2"/>
        </w:numPr>
      </w:pPr>
      <w:bookmarkStart w:id="45" w:name="id2812140"/>
      <w:bookmarkEnd w:id="45"/>
      <w:r w:rsidRPr="00470588">
        <w:t>Según el nivel de afectación se clasifican en neuropatía somática y autonómica. Estas últimas, desde un enfoque clínico se dividen de 2 formas: sin neuropatía (también considerada como subclínica en la que no hay síntomas) y neuropatías clínicas (en las que hay síntomas, signos focales y evidencia de pruebas).</w:t>
      </w:r>
    </w:p>
    <w:p w14:paraId="6D9B29F1" w14:textId="77777777" w:rsidR="0094245B" w:rsidRPr="00470588" w:rsidRDefault="0094245B" w:rsidP="0094245B">
      <w:pPr>
        <w:numPr>
          <w:ilvl w:val="0"/>
          <w:numId w:val="2"/>
        </w:numPr>
      </w:pPr>
      <w:r w:rsidRPr="00470588">
        <w:t>Según la forma de aparición, en aguda sensorial (con descontrol agudo, síntomas sensoriales graves, que aparecen de forma nocturna y pocas manifestaciones neurológicas durante la exploración física) y en crónica sensitivo-motora (es la más frecuente y afecta generalmente a las extremidades inferiores).</w:t>
      </w:r>
    </w:p>
    <w:p w14:paraId="74A4F9AF" w14:textId="77777777" w:rsidR="0094245B" w:rsidRPr="00470588" w:rsidRDefault="0094245B" w:rsidP="0094245B">
      <w:pPr>
        <w:rPr>
          <w:i/>
          <w:iCs/>
        </w:rPr>
      </w:pPr>
      <w:bookmarkStart w:id="46" w:name="id2812181"/>
      <w:bookmarkEnd w:id="46"/>
      <w:r w:rsidRPr="00470588">
        <w:rPr>
          <w:i/>
          <w:iCs/>
        </w:rPr>
        <w:t>Neuropatía somática (focal y multifocal)</w:t>
      </w:r>
    </w:p>
    <w:p w14:paraId="780BA795" w14:textId="77777777" w:rsidR="0094245B" w:rsidRPr="00470588" w:rsidRDefault="0094245B" w:rsidP="0094245B">
      <w:pPr>
        <w:numPr>
          <w:ilvl w:val="0"/>
          <w:numId w:val="3"/>
        </w:numPr>
      </w:pPr>
      <w:bookmarkStart w:id="47" w:name="id2812190"/>
      <w:bookmarkEnd w:id="47"/>
      <w:r w:rsidRPr="00470588">
        <w:t>Mononeuropatía: Se afecta un solo nervio, por ejemplos: el síndrome del túnel carpiano, túnel del tarso, así como neuropatías cubital, radial y perineal.</w:t>
      </w:r>
    </w:p>
    <w:p w14:paraId="7228E674" w14:textId="77777777" w:rsidR="0094245B" w:rsidRPr="00470588" w:rsidRDefault="0094245B" w:rsidP="0094245B">
      <w:pPr>
        <w:numPr>
          <w:ilvl w:val="0"/>
          <w:numId w:val="3"/>
        </w:numPr>
      </w:pPr>
      <w:r w:rsidRPr="00470588">
        <w:t>Neuropatías craneales: Son frecuentes en personas con larga evolución de la diabetes y se clasifican en neuropatías oculares, que afectan los nervios craneales III, IV y VI y las faciales, que se manifiestan como parálisis de Bell.</w:t>
      </w:r>
    </w:p>
    <w:p w14:paraId="261DDC90" w14:textId="77777777" w:rsidR="0094245B" w:rsidRPr="00470588" w:rsidRDefault="0094245B" w:rsidP="0094245B">
      <w:pPr>
        <w:numPr>
          <w:ilvl w:val="0"/>
          <w:numId w:val="3"/>
        </w:numPr>
      </w:pPr>
      <w:r w:rsidRPr="00470588">
        <w:t>Amiotrofia diabética: Llamada también neuropatía motora proximal se caracteriza por dolor, atrofia de la cintura escapular o pélvica y de los fascículos musculares, así como debilidad y desgaste muscular.</w:t>
      </w:r>
    </w:p>
    <w:p w14:paraId="62A353DB" w14:textId="77777777" w:rsidR="0094245B" w:rsidRPr="00470588" w:rsidRDefault="0094245B" w:rsidP="0094245B">
      <w:pPr>
        <w:numPr>
          <w:ilvl w:val="0"/>
          <w:numId w:val="3"/>
        </w:numPr>
      </w:pPr>
      <w:r w:rsidRPr="00470588">
        <w:lastRenderedPageBreak/>
        <w:t>Radiculoneuropatía troncal: Predomina en el sexo masculino, hay sensación de quemadura e hiperestesia. Se manifiesta en el tórax (parte inferior) o en la pared abdominal e involucra los nervios obturador, ciático y femoral. Puede incluir de forma súbita una parálisis de mano o pie.</w:t>
      </w:r>
    </w:p>
    <w:p w14:paraId="2ED4E6B4" w14:textId="77777777" w:rsidR="0094245B" w:rsidRPr="00470588" w:rsidRDefault="0094245B" w:rsidP="0094245B">
      <w:pPr>
        <w:numPr>
          <w:ilvl w:val="0"/>
          <w:numId w:val="3"/>
        </w:numPr>
      </w:pPr>
      <w:r w:rsidRPr="00470588">
        <w:t>Polineuropatía: También llamada neuropatía somática difusa y polineuropatía sensitivo-motora distal simétrica. Es la más frecuente y el paciente puede, incluso, no manifestarla debido a que disminuye la percepción de los estímulos táctiles, dolorosos y térmicos, existe disestesias, parestesias, además de dolor punzante, quemante acompañados de adormecimiento, hormigueo, con sensibilidad vibratoria disminuida.</w:t>
      </w:r>
    </w:p>
    <w:p w14:paraId="38A361AE" w14:textId="77777777" w:rsidR="0094245B" w:rsidRPr="00470588" w:rsidRDefault="0094245B" w:rsidP="0094245B">
      <w:pPr>
        <w:rPr>
          <w:i/>
          <w:iCs/>
        </w:rPr>
      </w:pPr>
      <w:bookmarkStart w:id="48" w:name="id2812271"/>
      <w:bookmarkEnd w:id="48"/>
      <w:r w:rsidRPr="00470588">
        <w:rPr>
          <w:i/>
          <w:iCs/>
        </w:rPr>
        <w:t>Neuropatía autonómica o visceral</w:t>
      </w:r>
    </w:p>
    <w:p w14:paraId="6EE72554" w14:textId="77777777" w:rsidR="0094245B" w:rsidRPr="00470588" w:rsidRDefault="0094245B" w:rsidP="0094245B">
      <w:pPr>
        <w:numPr>
          <w:ilvl w:val="0"/>
          <w:numId w:val="4"/>
        </w:numPr>
      </w:pPr>
      <w:bookmarkStart w:id="49" w:name="id2812280"/>
      <w:bookmarkEnd w:id="49"/>
      <w:r w:rsidRPr="00470588">
        <w:t>Neuropatía autonómica cardiovascular: Es la alteración del sistema de control autonómico cardiovascular más común y estudiada, debido a que posee mayor impacto clínico, ya que se asocia con el aumento de la isquemia silenciosa y la muerte súbita.</w:t>
      </w:r>
    </w:p>
    <w:p w14:paraId="348FEE8B" w14:textId="77777777" w:rsidR="0094245B" w:rsidRPr="00470588" w:rsidRDefault="0094245B" w:rsidP="0094245B">
      <w:pPr>
        <w:numPr>
          <w:ilvl w:val="0"/>
          <w:numId w:val="4"/>
        </w:numPr>
      </w:pPr>
      <w:r w:rsidRPr="00470588">
        <w:t>Neuropatía autonómica periférica: Se manifestada mediante cambios de la textura de la piel, edema, prurito, hiperqueratosis, prominencias venosas, pérdida de uñas y la piel seca. Esto propicia el posterior desarrollo de fisuras que desencadenan infecciones que pueden terminar en pie diabético y amputaciones.</w:t>
      </w:r>
    </w:p>
    <w:p w14:paraId="10BF1B0C" w14:textId="77777777" w:rsidR="0094245B" w:rsidRPr="00470588" w:rsidRDefault="0094245B" w:rsidP="0094245B">
      <w:pPr>
        <w:numPr>
          <w:ilvl w:val="0"/>
          <w:numId w:val="4"/>
        </w:numPr>
      </w:pPr>
      <w:r w:rsidRPr="00470588">
        <w:t>Neuropatía gastrointestinal autonómica: Se caracteriza por la pérdida de inhibición y el incremento de la excitación de células de tipo entérico y la disminución de los neuropéptidos, lo que provoca gastroparesia, dismotilidad esofágica, diarrea, incontinencia fecal y estreñimiento.</w:t>
      </w:r>
    </w:p>
    <w:p w14:paraId="0E7D58F4" w14:textId="77777777" w:rsidR="0094245B" w:rsidRPr="00470588" w:rsidRDefault="0094245B" w:rsidP="0094245B">
      <w:pPr>
        <w:numPr>
          <w:ilvl w:val="0"/>
          <w:numId w:val="4"/>
        </w:numPr>
      </w:pPr>
      <w:r w:rsidRPr="00470588">
        <w:lastRenderedPageBreak/>
        <w:t>Neuropatía genitourinaria autonómica: La prevalencia de cistopatía diabética es de entre 43 y 87 % en los pacientes con diabetes </w:t>
      </w:r>
      <w:r w:rsidRPr="00470588">
        <w:rPr>
          <w:i/>
          <w:iCs/>
        </w:rPr>
        <w:t>mellitus</w:t>
      </w:r>
      <w:r w:rsidRPr="00470588">
        <w:t> de tipo 1 y de 25 % en aquellos con la de tipo 2. Las manifestaciones de esta alteración son cistopatía diabética, eyaculación retrógrada, disfunción eréctil y dispareunia.</w:t>
      </w:r>
    </w:p>
    <w:p w14:paraId="32A0078B" w14:textId="1FBC6E35" w:rsidR="0094245B" w:rsidRPr="00470588" w:rsidRDefault="0094245B" w:rsidP="00D25FA9">
      <w:pPr>
        <w:numPr>
          <w:ilvl w:val="0"/>
          <w:numId w:val="4"/>
        </w:numPr>
      </w:pPr>
      <w:r w:rsidRPr="00470588">
        <w:t>Neuropatía ventilatoria autonómica: En la función ventilatoria la disautonomía diabética induce alteraciones en el tono broncomotor y en la respuesta específica de las vías aéreas a diferentes estímulos, lo cual indica defectos en los mecanismos de control que regulan el calibre bronquial y en la quimiosensibilidad periférica y central</w:t>
      </w:r>
      <w:r w:rsidR="009B2D04" w:rsidRPr="00470588">
        <w:t>".</w:t>
      </w:r>
    </w:p>
    <w:p w14:paraId="14CE6B42" w14:textId="3EBB4DAF" w:rsidR="00D25FA9" w:rsidRPr="00470588" w:rsidRDefault="00F32AAC" w:rsidP="00D25FA9">
      <w:r w:rsidRPr="00470588">
        <w:t>Para el diagnóstico de NPD</w:t>
      </w:r>
      <w:r w:rsidR="0039767B" w:rsidRPr="00470588">
        <w:t xml:space="preserve"> se realiza una historia médica exhaustiva, un examen físico y pruebas clínicas para descartar otras causas de dolor </w:t>
      </w:r>
      <w:r w:rsidR="00D25FA9" w:rsidRPr="00470588">
        <w:t>Los síntomas clínicos más comunes de la NPD son dolor simétrico en las extremidades, sensación de hormigueo y entumecimiento, en lo particular en el extremo distal en el llamado patrón de guante y media. Los pacientes con NPD han descrito su dolor como ardor, eléctrico, agudo y sordo, con intensidades que varían de leves a graves. Cerca de la mitad de las personas con NPD experimentan un empeoramiento de los síntomas durante la noche, cuando están cansados ​​o cuando están estresados. En las etapas avanzadas de la NPD, pueden manifestarse debilidad, falta de equilibrio e inestabilidad.</w:t>
      </w:r>
      <w:r w:rsidR="0039767B" w:rsidRPr="00470588">
        <w:rPr>
          <w:vertAlign w:val="superscript"/>
        </w:rPr>
        <w:t>(</w:t>
      </w:r>
      <w:r w:rsidR="0039767B" w:rsidRPr="00470588">
        <w:rPr>
          <w:rStyle w:val="EndnoteReference"/>
        </w:rPr>
        <w:endnoteReference w:id="27"/>
      </w:r>
      <w:r w:rsidR="0039767B" w:rsidRPr="00470588">
        <w:rPr>
          <w:vertAlign w:val="superscript"/>
        </w:rPr>
        <w:t>)</w:t>
      </w:r>
      <w:r w:rsidR="00D25FA9" w:rsidRPr="00470588">
        <w:t xml:space="preserve"> </w:t>
      </w:r>
    </w:p>
    <w:p w14:paraId="027F02B7" w14:textId="774B17CD" w:rsidR="00115838" w:rsidRPr="00470588" w:rsidRDefault="00115838" w:rsidP="00321F5A">
      <w:pPr>
        <w:rPr>
          <w:rFonts w:eastAsia="Calibri"/>
          <w:vertAlign w:val="superscript"/>
        </w:rPr>
      </w:pPr>
      <w:r w:rsidRPr="003F3B27">
        <w:rPr>
          <w:rFonts w:eastAsia="Calibri"/>
        </w:rPr>
        <w:t>Los cuestionarios más utilizados</w:t>
      </w:r>
      <w:r w:rsidRPr="00470588">
        <w:rPr>
          <w:rFonts w:eastAsia="Calibri"/>
        </w:rPr>
        <w:t xml:space="preserve"> para evaluar los síntomas</w:t>
      </w:r>
      <w:r w:rsidRPr="003F3B27">
        <w:rPr>
          <w:rFonts w:eastAsia="Calibri"/>
        </w:rPr>
        <w:t xml:space="preserve"> son</w:t>
      </w:r>
      <w:r w:rsidRPr="00470588">
        <w:rPr>
          <w:rFonts w:eastAsia="Calibri"/>
        </w:rPr>
        <w:t>: el</w:t>
      </w:r>
      <w:r w:rsidRPr="003F3B27">
        <w:rPr>
          <w:rFonts w:eastAsia="Calibri"/>
        </w:rPr>
        <w:t xml:space="preserve"> </w:t>
      </w:r>
      <w:r w:rsidRPr="00470588">
        <w:rPr>
          <w:rFonts w:eastAsia="Calibri"/>
          <w:i/>
          <w:iCs/>
        </w:rPr>
        <w:t>T</w:t>
      </w:r>
      <w:r w:rsidRPr="003F3B27">
        <w:rPr>
          <w:rFonts w:eastAsia="Calibri"/>
          <w:i/>
          <w:iCs/>
        </w:rPr>
        <w:t>otal Sympton Score</w:t>
      </w:r>
      <w:r w:rsidRPr="00470588">
        <w:rPr>
          <w:rFonts w:eastAsia="Calibri"/>
        </w:rPr>
        <w:t xml:space="preserve"> </w:t>
      </w:r>
      <w:r w:rsidRPr="003F3B27">
        <w:rPr>
          <w:rFonts w:eastAsia="Calibri"/>
        </w:rPr>
        <w:t xml:space="preserve">(TSS), el </w:t>
      </w:r>
      <w:r w:rsidRPr="003F3B27">
        <w:rPr>
          <w:rFonts w:eastAsia="Calibri"/>
          <w:i/>
          <w:iCs/>
        </w:rPr>
        <w:t>Neuropathy Disability Score</w:t>
      </w:r>
      <w:r w:rsidRPr="003F3B27">
        <w:rPr>
          <w:rFonts w:eastAsia="Calibri"/>
        </w:rPr>
        <w:t xml:space="preserve"> (NDS),</w:t>
      </w:r>
      <w:r w:rsidRPr="00470588">
        <w:rPr>
          <w:rFonts w:eastAsia="Calibri"/>
        </w:rPr>
        <w:t xml:space="preserve"> el</w:t>
      </w:r>
      <w:r w:rsidRPr="003F3B27">
        <w:rPr>
          <w:rFonts w:eastAsia="Calibri"/>
        </w:rPr>
        <w:t xml:space="preserve"> </w:t>
      </w:r>
      <w:r w:rsidRPr="003F3B27">
        <w:rPr>
          <w:rFonts w:eastAsia="Calibri"/>
          <w:i/>
          <w:iCs/>
        </w:rPr>
        <w:t>Neuropathy Symptoms Score</w:t>
      </w:r>
      <w:r w:rsidRPr="003F3B27">
        <w:rPr>
          <w:rFonts w:eastAsia="Calibri"/>
        </w:rPr>
        <w:t xml:space="preserve"> (NSS), y </w:t>
      </w:r>
      <w:r w:rsidRPr="003F3B27">
        <w:rPr>
          <w:rFonts w:eastAsia="Calibri"/>
          <w:i/>
          <w:iCs/>
        </w:rPr>
        <w:t>Memphis Neuropathy Instrument</w:t>
      </w:r>
      <w:r w:rsidRPr="003F3B27">
        <w:rPr>
          <w:rFonts w:eastAsia="Calibri"/>
        </w:rPr>
        <w:t xml:space="preserve"> (MNI), que han demostrado ser reproducibles, rápidos de aplicar y con una sensibilidad adecuada para ser utilizados en un programa de cribaje. La utilización de estos cuestionarios </w:t>
      </w:r>
      <w:r w:rsidRPr="003F3B27">
        <w:rPr>
          <w:rFonts w:eastAsia="Calibri"/>
        </w:rPr>
        <w:lastRenderedPageBreak/>
        <w:t>permite poner en evidencia la pérdida de síntomas y la aparición de signos compatibles con la presencia de polineuropatía.</w:t>
      </w:r>
      <w:r w:rsidRPr="00470588">
        <w:rPr>
          <w:rFonts w:eastAsia="Calibri"/>
          <w:vertAlign w:val="superscript"/>
        </w:rPr>
        <w:t>(</w:t>
      </w:r>
      <w:bookmarkStart w:id="51" w:name="_Ref177072398"/>
      <w:r w:rsidRPr="00470588">
        <w:rPr>
          <w:rStyle w:val="EndnoteReference"/>
          <w:rFonts w:eastAsia="Calibri"/>
        </w:rPr>
        <w:endnoteReference w:id="28"/>
      </w:r>
      <w:bookmarkEnd w:id="51"/>
      <w:r w:rsidRPr="00470588">
        <w:rPr>
          <w:rFonts w:eastAsia="Calibri"/>
          <w:vertAlign w:val="superscript"/>
        </w:rPr>
        <w:t>)</w:t>
      </w:r>
    </w:p>
    <w:p w14:paraId="140B4DBE" w14:textId="24D10A25" w:rsidR="00C022EE" w:rsidRPr="00470588" w:rsidRDefault="00C022EE" w:rsidP="00321F5A">
      <w:pPr>
        <w:rPr>
          <w:rFonts w:eastAsia="Calibri"/>
        </w:rPr>
      </w:pPr>
      <w:r w:rsidRPr="00470588">
        <w:rPr>
          <w:rFonts w:eastAsia="Calibri"/>
        </w:rPr>
        <w:t xml:space="preserve">En la conferencia de San Antonio se buscó estandarizar los métodos diagnósticos de la NPD y como resultado se reconocieron cuatro estrategias diferenciadas las cuales incluyen: </w:t>
      </w:r>
      <w:r w:rsidRPr="003F3B27">
        <w:rPr>
          <w:rFonts w:eastAsia="Calibri"/>
        </w:rPr>
        <w:t>a) medidas clínicas; b) análisis morfológicos y bioquímicos; c) evaluación electrofisiológica; y d) test sensitivos 12 cuantitativos.</w:t>
      </w:r>
      <w:r w:rsidRPr="00470588">
        <w:rPr>
          <w:rFonts w:eastAsia="Calibri"/>
        </w:rPr>
        <w:t xml:space="preserve"> </w:t>
      </w:r>
    </w:p>
    <w:p w14:paraId="14216772" w14:textId="054D6D42" w:rsidR="00D25FA9" w:rsidRPr="00470588" w:rsidRDefault="00D25FA9" w:rsidP="00321F5A">
      <w:r w:rsidRPr="00470588">
        <w:t xml:space="preserve">Las pruebas de sensación que utilizan alfileres y vibraciones son más sensibles y es necesario comprobar los reflejos del tobillo porque se pierden en la etapa inicial de la DPN. El diagnóstico de NPD puede apoyarse en un estudio de conducción nerviosa lo cual es importante para excluir otras causas de dolor. La evaluación de la densidad de las fibras nerviosas intraepidérmicas mediante biopsia de piel se considera el principal método de diagnóstico de la </w:t>
      </w:r>
      <w:r w:rsidR="003F3B27" w:rsidRPr="00470588">
        <w:t>NPD</w:t>
      </w:r>
      <w:r w:rsidRPr="00470588">
        <w:t>.</w:t>
      </w:r>
      <w:r w:rsidR="0039767B" w:rsidRPr="00470588">
        <w:t xml:space="preserve"> </w:t>
      </w:r>
      <w:r w:rsidRPr="00470588">
        <w:t>Además, es fundamental realizar una estrecha vigilancia de los pacientes con diabetes para detectar síntomas neuropáticos, ya que, según se informa, más del 10</w:t>
      </w:r>
      <w:r w:rsidR="00245BC6" w:rsidRPr="00470588">
        <w:t xml:space="preserve"> </w:t>
      </w:r>
      <w:r w:rsidRPr="00470588">
        <w:t>% no menciona sus síntomas dolorosos a sus médicos</w:t>
      </w:r>
      <w:r w:rsidR="0039767B" w:rsidRPr="00470588">
        <w:t>.</w:t>
      </w:r>
      <w:r w:rsidR="0039767B" w:rsidRPr="00470588">
        <w:rPr>
          <w:vertAlign w:val="superscript"/>
        </w:rPr>
        <w:t>(</w:t>
      </w:r>
      <w:r w:rsidR="0039767B" w:rsidRPr="00470588">
        <w:rPr>
          <w:rStyle w:val="EndnoteReference"/>
        </w:rPr>
        <w:endnoteReference w:id="29"/>
      </w:r>
      <w:r w:rsidR="0039767B" w:rsidRPr="00470588">
        <w:rPr>
          <w:vertAlign w:val="superscript"/>
        </w:rPr>
        <w:t>)</w:t>
      </w:r>
    </w:p>
    <w:p w14:paraId="0BE0D42A" w14:textId="28EEDE44" w:rsidR="00D05203" w:rsidRDefault="003F3B27" w:rsidP="003F3B27">
      <w:pPr>
        <w:rPr>
          <w:rFonts w:eastAsia="Calibri"/>
          <w:vertAlign w:val="superscript"/>
        </w:rPr>
      </w:pPr>
      <w:r w:rsidRPr="00470588">
        <w:rPr>
          <w:rFonts w:eastAsia="Calibri"/>
        </w:rPr>
        <w:t xml:space="preserve">El test del monofilamento 5.07 de Semmens-Weinstein </w:t>
      </w:r>
      <w:r w:rsidR="00FB390D" w:rsidRPr="00470588">
        <w:rPr>
          <w:rFonts w:eastAsia="Calibri"/>
        </w:rPr>
        <w:t>es una de las pruebas con más tiempo de uso y experiencia acumulada en</w:t>
      </w:r>
      <w:r w:rsidRPr="00470588">
        <w:rPr>
          <w:rFonts w:eastAsia="Calibri"/>
        </w:rPr>
        <w:t xml:space="preserve"> la detección de NDP desde </w:t>
      </w:r>
      <w:r w:rsidR="00FB390D" w:rsidRPr="00470588">
        <w:rPr>
          <w:rFonts w:eastAsia="Calibri"/>
        </w:rPr>
        <w:t>la década del 60 del pasado siglo</w:t>
      </w:r>
      <w:r w:rsidRPr="00470588">
        <w:rPr>
          <w:rFonts w:eastAsia="Calibri"/>
        </w:rPr>
        <w:t>.</w:t>
      </w:r>
      <w:r w:rsidR="008909A0" w:rsidRPr="00470588">
        <w:rPr>
          <w:rFonts w:eastAsia="Calibri"/>
        </w:rPr>
        <w:t xml:space="preserve"> </w:t>
      </w:r>
      <w:r w:rsidR="00536F4B" w:rsidRPr="00470588">
        <w:rPr>
          <w:rFonts w:eastAsia="Calibri"/>
        </w:rPr>
        <w:t>Es</w:t>
      </w:r>
      <w:r w:rsidR="008909A0" w:rsidRPr="00470588">
        <w:rPr>
          <w:rFonts w:eastAsia="Calibri"/>
        </w:rPr>
        <w:t xml:space="preserve"> un método rápido y fácil de usar debido a que evalúa</w:t>
      </w:r>
      <w:r w:rsidR="00536F4B" w:rsidRPr="00470588">
        <w:rPr>
          <w:rFonts w:eastAsia="Calibri"/>
        </w:rPr>
        <w:t xml:space="preserve"> </w:t>
      </w:r>
      <w:r w:rsidRPr="00470588">
        <w:rPr>
          <w:rFonts w:eastAsia="Calibri"/>
        </w:rPr>
        <w:t>la</w:t>
      </w:r>
      <w:r w:rsidR="00536F4B" w:rsidRPr="00470588">
        <w:rPr>
          <w:rFonts w:eastAsia="Calibri"/>
        </w:rPr>
        <w:t xml:space="preserve"> perdida de la</w:t>
      </w:r>
      <w:r w:rsidRPr="00470588">
        <w:rPr>
          <w:rFonts w:eastAsia="Calibri"/>
        </w:rPr>
        <w:t xml:space="preserve"> sensibilidad a la presión y t</w:t>
      </w:r>
      <w:r w:rsidR="00536F4B" w:rsidRPr="00470588">
        <w:rPr>
          <w:rFonts w:eastAsia="Calibri"/>
        </w:rPr>
        <w:t>acto</w:t>
      </w:r>
      <w:r w:rsidRPr="00470588">
        <w:rPr>
          <w:rFonts w:eastAsia="Calibri"/>
        </w:rPr>
        <w:t xml:space="preserve"> </w:t>
      </w:r>
      <w:r w:rsidR="00536F4B" w:rsidRPr="00470588">
        <w:rPr>
          <w:rFonts w:eastAsia="Calibri"/>
        </w:rPr>
        <w:t>secundaria a la presencia de neuropatías, Sin embargo, h</w:t>
      </w:r>
      <w:r w:rsidRPr="00470588">
        <w:rPr>
          <w:rFonts w:eastAsia="Calibri"/>
        </w:rPr>
        <w:t>ay una gran variación en la literatura científica respecto</w:t>
      </w:r>
      <w:r w:rsidR="00536F4B" w:rsidRPr="00470588">
        <w:rPr>
          <w:rFonts w:eastAsia="Calibri"/>
        </w:rPr>
        <w:t xml:space="preserve"> a su</w:t>
      </w:r>
      <w:r w:rsidRPr="00470588">
        <w:rPr>
          <w:rFonts w:eastAsia="Calibri"/>
        </w:rPr>
        <w:t xml:space="preserve"> valor de diagnóstico </w:t>
      </w:r>
      <w:r w:rsidR="00536F4B" w:rsidRPr="00470588">
        <w:rPr>
          <w:rFonts w:eastAsia="Calibri"/>
        </w:rPr>
        <w:t>como</w:t>
      </w:r>
      <w:r w:rsidRPr="00470588">
        <w:rPr>
          <w:rFonts w:eastAsia="Calibri"/>
        </w:rPr>
        <w:t xml:space="preserve"> resultado de las diferentes metodologías utilizadas en su medición.</w:t>
      </w:r>
      <w:r w:rsidR="00536F4B" w:rsidRPr="00470588">
        <w:rPr>
          <w:rFonts w:eastAsia="Calibri"/>
        </w:rPr>
        <w:t xml:space="preserve"> A pesar de esto,</w:t>
      </w:r>
      <w:r w:rsidR="0047035A" w:rsidRPr="00470588">
        <w:t xml:space="preserve"> se considera una prueba apta de cribado de la NPD con capacidad de predecir el riesgo de ulcera y amputación</w:t>
      </w:r>
      <w:bookmarkStart w:id="55" w:name="_Hlk178303970"/>
      <w:r w:rsidR="00536F4B" w:rsidRPr="00470588">
        <w:rPr>
          <w:rFonts w:eastAsia="Calibri"/>
        </w:rPr>
        <w:t xml:space="preserve"> </w:t>
      </w:r>
      <w:r w:rsidR="0047035A" w:rsidRPr="00470588">
        <w:rPr>
          <w:rFonts w:eastAsia="Calibri"/>
          <w:vertAlign w:val="superscript"/>
        </w:rPr>
        <w:t>(</w:t>
      </w:r>
      <w:r w:rsidR="0047035A" w:rsidRPr="00470588">
        <w:rPr>
          <w:rStyle w:val="EndnoteReference"/>
          <w:rFonts w:eastAsia="Calibri"/>
        </w:rPr>
        <w:endnoteReference w:id="30"/>
      </w:r>
      <w:r w:rsidR="0047035A" w:rsidRPr="00470588">
        <w:rPr>
          <w:rFonts w:eastAsia="Calibri"/>
          <w:vertAlign w:val="superscript"/>
        </w:rPr>
        <w:t>)</w:t>
      </w:r>
      <w:bookmarkEnd w:id="55"/>
    </w:p>
    <w:p w14:paraId="5A3CBA31" w14:textId="2531B174" w:rsidR="00060BFC" w:rsidRPr="00947957" w:rsidRDefault="00A37F72" w:rsidP="001C52AA">
      <w:r w:rsidRPr="00A37F72">
        <w:lastRenderedPageBreak/>
        <w:t>La prueba de Semmes Weinstein o de monofilamento utilizada en la valoración de la neuropatía diabética periférica</w:t>
      </w:r>
      <w:r w:rsidR="00586051">
        <w:t xml:space="preserve">, </w:t>
      </w:r>
      <w:r w:rsidRPr="00A37F72">
        <w:t>la cual tiene una sensibilidad del 97% y una especificidad del 83 %, puede ser replicada para la evaluación diagnóstica en los pacientes con compromiso neuropático periférico</w:t>
      </w:r>
      <w:r w:rsidR="00947957">
        <w:t>. En esta prueba se utiliza un</w:t>
      </w:r>
      <w:r w:rsidR="00A467B4" w:rsidRPr="00A467B4">
        <w:t xml:space="preserve"> </w:t>
      </w:r>
      <w:r w:rsidR="00947957" w:rsidRPr="00947957">
        <w:t>estesiómetro especia</w:t>
      </w:r>
      <w:r w:rsidR="00947957">
        <w:t xml:space="preserve">l </w:t>
      </w:r>
      <w:r w:rsidR="00A467B4" w:rsidRPr="00A467B4">
        <w:t>de nailon unido a un mango de plástico, que al doblarse aplica una presión constante de 10 gramos, independientemente de la fuerza que aplique el explorador. Evalúa la sensibilidad a la presión y la sensibilidad táctil, lo que se denomina sensibilidad protectora</w:t>
      </w:r>
      <w:r w:rsidR="00060BFC">
        <w:t>.</w:t>
      </w:r>
      <w:r w:rsidR="00060BFC" w:rsidRPr="00A37F72">
        <w:rPr>
          <w:vertAlign w:val="superscript"/>
        </w:rPr>
        <w:t xml:space="preserve"> </w:t>
      </w:r>
      <w:bookmarkStart w:id="56" w:name="_Hlk178304996"/>
      <w:r w:rsidRPr="00A37F72">
        <w:rPr>
          <w:vertAlign w:val="superscript"/>
        </w:rPr>
        <w:t>(</w:t>
      </w:r>
      <w:r w:rsidR="00947957">
        <w:rPr>
          <w:rStyle w:val="EndnoteReference"/>
        </w:rPr>
        <w:endnoteReference w:id="31"/>
      </w:r>
      <w:r w:rsidRPr="00A37F72">
        <w:rPr>
          <w:vertAlign w:val="superscript"/>
        </w:rPr>
        <w:t>)</w:t>
      </w:r>
      <w:bookmarkEnd w:id="56"/>
    </w:p>
    <w:p w14:paraId="2FA83EA8" w14:textId="25C411DC" w:rsidR="00060BFC" w:rsidRDefault="00060BFC" w:rsidP="001C52AA">
      <w:r>
        <w:t>S</w:t>
      </w:r>
      <w:r w:rsidRPr="00060BFC">
        <w:t>e aplica en once sitios específicos pre</w:t>
      </w:r>
      <w:r w:rsidR="00ED3E4F">
        <w:t>-</w:t>
      </w:r>
      <w:r w:rsidRPr="00060BFC">
        <w:t>establecidos en los pies, valorando la presencia o ausencia de esta sensibilidad expresada verbalmente por los pacientes. La prueba permite valorar la sensibilidad táctil en dermatomas específicos inervados por las raíces nerviosas</w:t>
      </w:r>
      <w:r w:rsidR="006F06EB">
        <w:t xml:space="preserve">. </w:t>
      </w:r>
      <w:r w:rsidRPr="00060BFC">
        <w:t>Un paciente se considerará sin afección neuropática cuando la puntuación obtenida sea de 11/11, lo cual evidencia que la sensibilidad táctil esta mantenida y con ello se descartaría la afección neuropática.</w:t>
      </w:r>
      <w:r w:rsidR="00ED3E4F" w:rsidRPr="00ED3E4F">
        <w:rPr>
          <w:vertAlign w:val="superscript"/>
        </w:rPr>
        <w:t xml:space="preserve"> (</w:t>
      </w:r>
      <w:r w:rsidR="006F06EB">
        <w:rPr>
          <w:rStyle w:val="EndnoteReference"/>
        </w:rPr>
        <w:endnoteReference w:id="32"/>
      </w:r>
      <w:r w:rsidR="00ED3E4F" w:rsidRPr="00ED3E4F">
        <w:rPr>
          <w:vertAlign w:val="superscript"/>
        </w:rPr>
        <w:t>)</w:t>
      </w:r>
    </w:p>
    <w:p w14:paraId="6B87AD3A" w14:textId="6A110A96" w:rsidR="001C52AA" w:rsidRDefault="00245BC6" w:rsidP="001C52AA">
      <w:pPr>
        <w:rPr>
          <w:rFonts w:eastAsia="Calibri"/>
        </w:rPr>
      </w:pPr>
      <w:r w:rsidRPr="00470588">
        <w:t>A la luz de la evidencia actual queda claro que c</w:t>
      </w:r>
      <w:r w:rsidRPr="00470588">
        <w:rPr>
          <w:rFonts w:eastAsia="Calibri"/>
        </w:rPr>
        <w:t xml:space="preserve">onocer los factores que inciden </w:t>
      </w:r>
      <w:r w:rsidR="0047035A" w:rsidRPr="00470588">
        <w:rPr>
          <w:rFonts w:eastAsia="Calibri"/>
        </w:rPr>
        <w:t>en la instauración de NPD en los</w:t>
      </w:r>
      <w:r w:rsidRPr="00470588">
        <w:rPr>
          <w:rFonts w:eastAsia="Calibri"/>
        </w:rPr>
        <w:t xml:space="preserve"> paciente con </w:t>
      </w:r>
      <w:r w:rsidR="0047035A" w:rsidRPr="00470588">
        <w:rPr>
          <w:rFonts w:eastAsia="Calibri"/>
        </w:rPr>
        <w:t>DM</w:t>
      </w:r>
      <w:r w:rsidRPr="00470588">
        <w:rPr>
          <w:rFonts w:eastAsia="Calibri"/>
        </w:rPr>
        <w:t xml:space="preserve"> es fundamental para instaurar medidas que lo modifiquen de forma favorable. Los criterios </w:t>
      </w:r>
      <w:r w:rsidR="00022B89" w:rsidRPr="00470588">
        <w:rPr>
          <w:rFonts w:eastAsia="Calibri"/>
        </w:rPr>
        <w:t>diagnósticos de esta complicación</w:t>
      </w:r>
      <w:r w:rsidRPr="00470588">
        <w:rPr>
          <w:rFonts w:eastAsia="Calibri"/>
        </w:rPr>
        <w:t xml:space="preserve"> y las medidas terapéuticas que se utilicen para </w:t>
      </w:r>
      <w:r w:rsidR="00022B89" w:rsidRPr="00470588">
        <w:rPr>
          <w:rFonts w:eastAsia="Calibri"/>
        </w:rPr>
        <w:t>controlarlo</w:t>
      </w:r>
      <w:r w:rsidRPr="00470588">
        <w:rPr>
          <w:rFonts w:eastAsia="Calibri"/>
        </w:rPr>
        <w:t xml:space="preserve"> deben ser individualizadas y basadas en la evidencia para de esta forma lograr los resultados deseados.  </w:t>
      </w:r>
    </w:p>
    <w:p w14:paraId="3D14D05A" w14:textId="77777777" w:rsidR="001A33F5" w:rsidRPr="001A33F5" w:rsidRDefault="001A33F5" w:rsidP="001A33F5">
      <w:pPr>
        <w:rPr>
          <w:rFonts w:eastAsia="Calibri"/>
        </w:rPr>
      </w:pPr>
      <w:r w:rsidRPr="001A33F5">
        <w:rPr>
          <w:rFonts w:eastAsia="Calibri"/>
        </w:rPr>
        <w:t>Existen algunas diferencias epidemiológicas entre la NPD en la DM tipo 1 y la DM tipo 2, a pesar de que no existen diferencias estructurales importantes en la patología nerviosa. Como lo demuestra el DCCT (</w:t>
      </w:r>
      <w:r w:rsidRPr="00586051">
        <w:rPr>
          <w:rFonts w:eastAsia="Calibri"/>
          <w:i/>
          <w:iCs/>
        </w:rPr>
        <w:t>Diabetes Control and Complications Trial</w:t>
      </w:r>
      <w:r w:rsidRPr="001A33F5">
        <w:rPr>
          <w:rFonts w:eastAsia="Calibri"/>
        </w:rPr>
        <w:t>),</w:t>
      </w:r>
      <w:r w:rsidRPr="001A33F5">
        <w:rPr>
          <w:rFonts w:eastAsia="Calibri"/>
          <w:vertAlign w:val="superscript"/>
        </w:rPr>
        <w:t>(</w:t>
      </w:r>
      <w:r w:rsidRPr="001A33F5">
        <w:rPr>
          <w:rFonts w:eastAsia="Calibri"/>
          <w:vertAlign w:val="superscript"/>
        </w:rPr>
        <w:endnoteReference w:id="33"/>
      </w:r>
      <w:r w:rsidRPr="001A33F5">
        <w:rPr>
          <w:rFonts w:eastAsia="Calibri"/>
          <w:vertAlign w:val="superscript"/>
        </w:rPr>
        <w:t>)</w:t>
      </w:r>
      <w:r w:rsidRPr="001A33F5">
        <w:rPr>
          <w:rFonts w:eastAsia="Calibri"/>
        </w:rPr>
        <w:t xml:space="preserve"> la prevalencia de NPD es baja en personas con </w:t>
      </w:r>
      <w:r w:rsidRPr="001A33F5">
        <w:rPr>
          <w:rFonts w:eastAsia="Calibri"/>
        </w:rPr>
        <w:lastRenderedPageBreak/>
        <w:t>diagnóstico reciente y DM tipo 1 temprana (&lt;10 años de duración). Luego, la prevalencia aumenta con la duración de la enfermedad hasta un 34% después de aproximadamente 25 años, como se documenta en el estudio EDIC (</w:t>
      </w:r>
      <w:r w:rsidRPr="001A33F5">
        <w:rPr>
          <w:rFonts w:eastAsia="Calibri"/>
          <w:i/>
          <w:iCs/>
        </w:rPr>
        <w:t>Epidemiology of Diabetes Interventions and Complications</w:t>
      </w:r>
      <w:r w:rsidRPr="001A33F5">
        <w:rPr>
          <w:rFonts w:eastAsia="Calibri"/>
        </w:rPr>
        <w:t>) que se realizó como un seguimiento observacional del DCCT.</w:t>
      </w:r>
      <w:r w:rsidRPr="001A33F5">
        <w:rPr>
          <w:rFonts w:eastAsia="Calibri"/>
          <w:vertAlign w:val="superscript"/>
        </w:rPr>
        <w:t>(</w:t>
      </w:r>
      <w:r w:rsidRPr="001A33F5">
        <w:rPr>
          <w:rFonts w:eastAsia="Calibri"/>
          <w:vertAlign w:val="superscript"/>
        </w:rPr>
        <w:endnoteReference w:id="34"/>
      </w:r>
      <w:r w:rsidRPr="001A33F5">
        <w:rPr>
          <w:rFonts w:eastAsia="Calibri"/>
          <w:vertAlign w:val="superscript"/>
        </w:rPr>
        <w:t>)</w:t>
      </w:r>
      <w:r w:rsidRPr="001A33F5">
        <w:rPr>
          <w:rFonts w:eastAsia="Calibri"/>
        </w:rPr>
        <w:t xml:space="preserve"> </w:t>
      </w:r>
    </w:p>
    <w:p w14:paraId="6289E46F" w14:textId="77777777" w:rsidR="001A33F5" w:rsidRPr="001A33F5" w:rsidRDefault="001A33F5" w:rsidP="001A33F5">
      <w:pPr>
        <w:rPr>
          <w:rFonts w:eastAsia="Calibri"/>
        </w:rPr>
      </w:pPr>
      <w:r w:rsidRPr="001A33F5">
        <w:rPr>
          <w:rFonts w:eastAsia="Calibri"/>
        </w:rPr>
        <w:t>El EURODIAB IDDM (</w:t>
      </w:r>
      <w:r w:rsidRPr="001A33F5">
        <w:rPr>
          <w:rFonts w:eastAsia="Calibri"/>
          <w:i/>
          <w:iCs/>
        </w:rPr>
        <w:t>European Insulin-Dependent Diabetes Mellitus Prospective Complications Study</w:t>
      </w:r>
      <w:r w:rsidRPr="001A33F5">
        <w:rPr>
          <w:rFonts w:eastAsia="Calibri"/>
        </w:rPr>
        <w:t>)</w:t>
      </w:r>
      <w:r w:rsidRPr="001A33F5">
        <w:rPr>
          <w:rFonts w:eastAsia="Calibri"/>
          <w:vertAlign w:val="superscript"/>
        </w:rPr>
        <w:t>(</w:t>
      </w:r>
      <w:r w:rsidRPr="001A33F5">
        <w:rPr>
          <w:rFonts w:eastAsia="Calibri"/>
          <w:vertAlign w:val="superscript"/>
        </w:rPr>
        <w:endnoteReference w:id="35"/>
      </w:r>
      <w:r w:rsidRPr="001A33F5">
        <w:rPr>
          <w:rFonts w:eastAsia="Calibri"/>
          <w:vertAlign w:val="superscript"/>
        </w:rPr>
        <w:t>)</w:t>
      </w:r>
      <w:r w:rsidRPr="001A33F5">
        <w:rPr>
          <w:rFonts w:eastAsia="Calibri"/>
        </w:rPr>
        <w:t xml:space="preserve"> informó anteriormente tasas similares en individuos seleccionados aleatoriamente con DM tipo 1 de duración similar de 16 países europeos. Además, los datos de cohortes contemporáneas que reflejan los estándares actuales de atención en ambos lados del Atlántico han encontrado resultados similares. La T1D </w:t>
      </w:r>
      <w:r w:rsidRPr="001A33F5">
        <w:rPr>
          <w:rFonts w:eastAsia="Calibri"/>
          <w:i/>
          <w:iCs/>
        </w:rPr>
        <w:t>Exchange clinic network</w:t>
      </w:r>
      <w:r w:rsidRPr="001A33F5">
        <w:rPr>
          <w:rFonts w:eastAsia="Calibri"/>
        </w:rPr>
        <w:t>,</w:t>
      </w:r>
      <w:r w:rsidRPr="001A33F5">
        <w:rPr>
          <w:rFonts w:eastAsia="Calibri"/>
          <w:vertAlign w:val="superscript"/>
        </w:rPr>
        <w:t>(</w:t>
      </w:r>
      <w:r w:rsidRPr="001A33F5">
        <w:rPr>
          <w:rFonts w:eastAsia="Calibri"/>
          <w:vertAlign w:val="superscript"/>
        </w:rPr>
        <w:endnoteReference w:id="36"/>
      </w:r>
      <w:r w:rsidRPr="001A33F5">
        <w:rPr>
          <w:rFonts w:eastAsia="Calibri"/>
          <w:vertAlign w:val="superscript"/>
        </w:rPr>
        <w:t xml:space="preserve">) </w:t>
      </w:r>
      <w:r w:rsidRPr="001A33F5">
        <w:rPr>
          <w:rFonts w:eastAsia="Calibri"/>
        </w:rPr>
        <w:t xml:space="preserve">que consta de &gt;25 000 personas con DM tipo 1 en &gt; 80 consultorios de endocrinología pediátrica y de adultos con sede en EE.UU., y el </w:t>
      </w:r>
      <w:r w:rsidRPr="001A33F5">
        <w:rPr>
          <w:rFonts w:eastAsia="Calibri"/>
          <w:i/>
          <w:iCs/>
        </w:rPr>
        <w:t>Scottish T1D Register</w:t>
      </w:r>
      <w:r w:rsidRPr="001A33F5">
        <w:rPr>
          <w:rFonts w:eastAsia="Calibri"/>
        </w:rPr>
        <w:t> ,</w:t>
      </w:r>
      <w:r w:rsidRPr="001A33F5">
        <w:rPr>
          <w:rFonts w:eastAsia="Calibri"/>
          <w:vertAlign w:val="superscript"/>
        </w:rPr>
        <w:t>(</w:t>
      </w:r>
      <w:r w:rsidRPr="001A33F5">
        <w:rPr>
          <w:rFonts w:eastAsia="Calibri"/>
          <w:vertAlign w:val="superscript"/>
        </w:rPr>
        <w:endnoteReference w:id="37"/>
      </w:r>
      <w:r w:rsidRPr="001A33F5">
        <w:rPr>
          <w:rFonts w:eastAsia="Calibri"/>
          <w:vertAlign w:val="superscript"/>
        </w:rPr>
        <w:t xml:space="preserve">) </w:t>
      </w:r>
      <w:r w:rsidRPr="001A33F5">
        <w:rPr>
          <w:rFonts w:eastAsia="Calibri"/>
        </w:rPr>
        <w:t xml:space="preserve">que incluye a todas las personas con DM tipo 1 en Escocia, exploraron la NPD con el cuestionario </w:t>
      </w:r>
      <w:r w:rsidRPr="001A33F5">
        <w:rPr>
          <w:rFonts w:eastAsia="Calibri"/>
          <w:i/>
          <w:iCs/>
        </w:rPr>
        <w:t>Michigan Neuropathy Screening Instrument</w:t>
      </w:r>
      <w:r w:rsidRPr="001A33F5">
        <w:rPr>
          <w:rFonts w:eastAsia="Calibri"/>
        </w:rPr>
        <w:t xml:space="preserve"> (MNSI) encontraron tasas de prevalencia del 11 al 13 % para los síntomas de la NPD, incluido el dolor. </w:t>
      </w:r>
    </w:p>
    <w:p w14:paraId="5F0D6B10" w14:textId="77777777" w:rsidR="001A33F5" w:rsidRPr="001A33F5" w:rsidRDefault="001A33F5" w:rsidP="001A33F5">
      <w:pPr>
        <w:rPr>
          <w:rFonts w:eastAsia="Calibri"/>
        </w:rPr>
      </w:pPr>
      <w:r w:rsidRPr="001A33F5">
        <w:rPr>
          <w:rFonts w:eastAsia="Calibri"/>
        </w:rPr>
        <w:t>Por el contrario, más de la mitad de todas las personas con DM tipo 2 desarrollan signos y síntomas de NPD durante su vida, como se documenta en varias cohortes grandes de observación o intervención. La prevalencia de NPD es bastante alta, con tasas de hasta ~ 20 a 30% incluso en DM tipo 2 recién diagnosticada y en etapa temprana, según se observó en cohortes contemporáneas como las &gt;1500 personas con DM tipo 2 detectada en el brazo danés del ensayo ADDITION (</w:t>
      </w:r>
      <w:r w:rsidRPr="001A33F5">
        <w:rPr>
          <w:rFonts w:eastAsia="Calibri"/>
          <w:i/>
          <w:iCs/>
        </w:rPr>
        <w:t>Anglo-Danish-Dutch Study of Intensive Treatment of Diabetes in Primary Care</w:t>
      </w:r>
      <w:r w:rsidRPr="001A33F5">
        <w:rPr>
          <w:rFonts w:eastAsia="Calibri"/>
        </w:rPr>
        <w:t>)</w:t>
      </w:r>
      <w:r w:rsidRPr="001A33F5">
        <w:rPr>
          <w:rFonts w:eastAsia="Calibri"/>
          <w:vertAlign w:val="superscript"/>
        </w:rPr>
        <w:t>(</w:t>
      </w:r>
      <w:r w:rsidRPr="001A33F5">
        <w:rPr>
          <w:rFonts w:eastAsia="Calibri"/>
          <w:vertAlign w:val="superscript"/>
        </w:rPr>
        <w:endnoteReference w:id="38"/>
      </w:r>
      <w:r w:rsidRPr="001A33F5">
        <w:rPr>
          <w:rFonts w:eastAsia="Calibri"/>
          <w:vertAlign w:val="superscript"/>
        </w:rPr>
        <w:t>)</w:t>
      </w:r>
      <w:r w:rsidRPr="001A33F5">
        <w:rPr>
          <w:rFonts w:eastAsia="Calibri"/>
        </w:rPr>
        <w:t xml:space="preserve"> y &gt; 5000 personas con DM tipo 2 temprana (~4 </w:t>
      </w:r>
      <w:r w:rsidRPr="001A33F5">
        <w:rPr>
          <w:rFonts w:eastAsia="Calibri"/>
        </w:rPr>
        <w:lastRenderedPageBreak/>
        <w:t>años de duración) en el estudio GRADE (</w:t>
      </w:r>
      <w:r w:rsidRPr="001A33F5">
        <w:rPr>
          <w:rFonts w:eastAsia="Calibri"/>
          <w:i/>
          <w:iCs/>
        </w:rPr>
        <w:t>Glycemia Reduction Approaches in Diabetes–A Comparative Effectiveness</w:t>
      </w:r>
      <w:r w:rsidRPr="001A33F5">
        <w:rPr>
          <w:rFonts w:eastAsia="Calibri"/>
        </w:rPr>
        <w:t>).</w:t>
      </w:r>
      <w:r w:rsidRPr="001A33F5">
        <w:rPr>
          <w:rFonts w:eastAsia="Calibri"/>
          <w:vertAlign w:val="superscript"/>
        </w:rPr>
        <w:t>(</w:t>
      </w:r>
      <w:r w:rsidRPr="001A33F5">
        <w:rPr>
          <w:rFonts w:eastAsia="Calibri"/>
          <w:vertAlign w:val="superscript"/>
        </w:rPr>
        <w:endnoteReference w:id="39"/>
      </w:r>
      <w:r w:rsidRPr="001A33F5">
        <w:rPr>
          <w:rFonts w:eastAsia="Calibri"/>
          <w:vertAlign w:val="superscript"/>
        </w:rPr>
        <w:t>)</w:t>
      </w:r>
      <w:r w:rsidRPr="001A33F5">
        <w:rPr>
          <w:rFonts w:eastAsia="Calibri"/>
        </w:rPr>
        <w:t xml:space="preserve"> Ambos ensayos pesquizaron la presencia de NPD en los participantes utilizando el MNSI.</w:t>
      </w:r>
    </w:p>
    <w:p w14:paraId="20D11E81" w14:textId="5F9ED088" w:rsidR="001A33F5" w:rsidRPr="001A33F5" w:rsidRDefault="001A33F5" w:rsidP="001A33F5">
      <w:pPr>
        <w:rPr>
          <w:rFonts w:eastAsia="Calibri"/>
        </w:rPr>
      </w:pPr>
      <w:r w:rsidRPr="001A33F5">
        <w:rPr>
          <w:rFonts w:eastAsia="Calibri"/>
        </w:rPr>
        <w:t>Con relación a la NPD y sus factores de riesgo también existen múltiples publicaciones en Cuba. Entre las más recientes se encuentra el estudio de Medina y cols.,</w:t>
      </w:r>
      <w:bookmarkStart w:id="67" w:name="_Hlk119434803"/>
      <w:r w:rsidRPr="001A33F5">
        <w:rPr>
          <w:rFonts w:eastAsia="Calibri"/>
          <w:vertAlign w:val="superscript"/>
        </w:rPr>
        <w:t>(</w:t>
      </w:r>
      <w:r w:rsidRPr="001A33F5">
        <w:rPr>
          <w:rFonts w:eastAsia="Calibri"/>
          <w:vertAlign w:val="superscript"/>
        </w:rPr>
        <w:fldChar w:fldCharType="begin"/>
      </w:r>
      <w:r w:rsidRPr="001A33F5">
        <w:rPr>
          <w:rFonts w:eastAsia="Calibri"/>
          <w:vertAlign w:val="superscript"/>
        </w:rPr>
        <w:instrText xml:space="preserve"> NOTEREF _Ref176900992 \h </w:instrText>
      </w:r>
      <w:r w:rsidRPr="001A33F5">
        <w:rPr>
          <w:rFonts w:eastAsia="Calibri"/>
          <w:vertAlign w:val="superscript"/>
        </w:rPr>
      </w:r>
      <w:r w:rsidRPr="001A33F5">
        <w:rPr>
          <w:rFonts w:eastAsia="Calibri"/>
          <w:vertAlign w:val="superscript"/>
        </w:rPr>
        <w:fldChar w:fldCharType="separate"/>
      </w:r>
      <w:r w:rsidR="00586051">
        <w:rPr>
          <w:rFonts w:eastAsia="Calibri"/>
          <w:vertAlign w:val="superscript"/>
        </w:rPr>
        <w:t>1</w:t>
      </w:r>
      <w:r w:rsidRPr="001A33F5">
        <w:rPr>
          <w:rFonts w:eastAsia="Calibri"/>
        </w:rPr>
        <w:fldChar w:fldCharType="end"/>
      </w:r>
      <w:r w:rsidRPr="001A33F5">
        <w:rPr>
          <w:rFonts w:eastAsia="Calibri"/>
          <w:vertAlign w:val="superscript"/>
        </w:rPr>
        <w:t>)</w:t>
      </w:r>
      <w:bookmarkEnd w:id="67"/>
      <w:r w:rsidRPr="001A33F5">
        <w:rPr>
          <w:rFonts w:eastAsia="Calibri"/>
        </w:rPr>
        <w:t xml:space="preserve"> (2020) en un estudio epidemiológico con 105 pacientes diabéticos de un área de salud en la Isla de la Juventud, observan que la NPD tuvo una frecuencia del 63,7 %. Estos autores informan que hasta un 35 % de las personas estudiada se encontraban descompensadas de la enfermedad. La HTA fue el factor de riesgo más importante.</w:t>
      </w:r>
    </w:p>
    <w:p w14:paraId="118BFE9A" w14:textId="77777777" w:rsidR="001A33F5" w:rsidRPr="001A33F5" w:rsidRDefault="001A33F5" w:rsidP="001A33F5">
      <w:pPr>
        <w:rPr>
          <w:rFonts w:eastAsia="Calibri"/>
        </w:rPr>
      </w:pPr>
      <w:r w:rsidRPr="001A33F5">
        <w:rPr>
          <w:rFonts w:eastAsia="Calibri"/>
        </w:rPr>
        <w:t>En el mismo año Reyes y cols.,</w:t>
      </w:r>
      <w:r w:rsidRPr="001A33F5">
        <w:rPr>
          <w:rFonts w:eastAsia="Calibri"/>
          <w:vertAlign w:val="superscript"/>
        </w:rPr>
        <w:t>(</w:t>
      </w:r>
      <w:r w:rsidRPr="001A33F5">
        <w:rPr>
          <w:rFonts w:eastAsia="Calibri"/>
          <w:vertAlign w:val="superscript"/>
        </w:rPr>
        <w:endnoteReference w:id="40"/>
      </w:r>
      <w:r w:rsidRPr="001A33F5">
        <w:rPr>
          <w:rFonts w:eastAsia="Calibri"/>
          <w:vertAlign w:val="superscript"/>
        </w:rPr>
        <w:t>)</w:t>
      </w:r>
      <w:r w:rsidRPr="001A33F5">
        <w:rPr>
          <w:rFonts w:eastAsia="Calibri"/>
        </w:rPr>
        <w:t xml:space="preserve"> realizaron un estudio retrospectivo con 96 pacientes ingresados por DM tipo 2 descompensada. La frecuencia de NPD en estos pacientes fue la complicación de mayor gravedad para un 47,9 % del total de casos . La obesidad y la HTA fueron los factores de riesgo más observado.</w:t>
      </w:r>
    </w:p>
    <w:p w14:paraId="42B31537" w14:textId="6D564611" w:rsidR="001A33F5" w:rsidRPr="001A33F5" w:rsidRDefault="001A33F5" w:rsidP="001A33F5">
      <w:pPr>
        <w:rPr>
          <w:rFonts w:eastAsia="Calibri"/>
        </w:rPr>
      </w:pPr>
      <w:r w:rsidRPr="001A33F5">
        <w:rPr>
          <w:rFonts w:eastAsia="Calibri"/>
        </w:rPr>
        <w:t>Cardona y cols.,</w:t>
      </w:r>
      <w:r w:rsidRPr="001A33F5">
        <w:rPr>
          <w:rFonts w:eastAsia="Calibri"/>
          <w:vertAlign w:val="superscript"/>
        </w:rPr>
        <w:t>(</w:t>
      </w:r>
      <w:r w:rsidRPr="001A33F5">
        <w:rPr>
          <w:rFonts w:eastAsia="Calibri"/>
          <w:vertAlign w:val="superscript"/>
        </w:rPr>
        <w:endnoteReference w:id="41"/>
      </w:r>
      <w:r w:rsidRPr="001A33F5">
        <w:rPr>
          <w:rFonts w:eastAsia="Calibri"/>
          <w:vertAlign w:val="superscript"/>
        </w:rPr>
        <w:t>)</w:t>
      </w:r>
      <w:r w:rsidRPr="001A33F5">
        <w:rPr>
          <w:rFonts w:eastAsia="Calibri"/>
        </w:rPr>
        <w:t xml:space="preserve"> (2022) que realizaron un estudio descriptivo transversal, con 480 personas de dos áreas de salud de Santiago de Cuba. La prevalencia de NPD ascendió hasta un 82,8 % siendo la complicación </w:t>
      </w:r>
      <w:r w:rsidR="00586051" w:rsidRPr="001A33F5">
        <w:rPr>
          <w:rFonts w:eastAsia="Calibri"/>
        </w:rPr>
        <w:t>más</w:t>
      </w:r>
      <w:r w:rsidRPr="001A33F5">
        <w:rPr>
          <w:rFonts w:eastAsia="Calibri"/>
        </w:rPr>
        <w:t xml:space="preserve"> importante encontrada en estos pacientes.</w:t>
      </w:r>
    </w:p>
    <w:p w14:paraId="6B41AC74" w14:textId="77777777" w:rsidR="001A33F5" w:rsidRPr="001A33F5" w:rsidRDefault="001A33F5" w:rsidP="001A33F5">
      <w:pPr>
        <w:rPr>
          <w:rFonts w:eastAsia="Calibri"/>
        </w:rPr>
      </w:pPr>
      <w:r w:rsidRPr="001A33F5">
        <w:rPr>
          <w:rFonts w:eastAsia="Calibri"/>
        </w:rPr>
        <w:t>En otra investigación</w:t>
      </w:r>
      <w:r w:rsidRPr="001A33F5">
        <w:rPr>
          <w:rFonts w:eastAsia="Calibri"/>
          <w:vertAlign w:val="superscript"/>
        </w:rPr>
        <w:t>(</w:t>
      </w:r>
      <w:r w:rsidRPr="001A33F5">
        <w:rPr>
          <w:rFonts w:eastAsia="Calibri"/>
          <w:vertAlign w:val="superscript"/>
        </w:rPr>
        <w:endnoteReference w:id="42"/>
      </w:r>
      <w:r w:rsidRPr="001A33F5">
        <w:rPr>
          <w:rFonts w:eastAsia="Calibri"/>
          <w:vertAlign w:val="superscript"/>
        </w:rPr>
        <w:t>)</w:t>
      </w:r>
      <w:r w:rsidRPr="001A33F5">
        <w:rPr>
          <w:rFonts w:eastAsia="Calibri"/>
        </w:rPr>
        <w:t xml:space="preserve"> realizada en Holguín (2022) se incluyeron 30 diabéticos y se evaluaron los trastornos de conducción nerviosa en los miembros inferiores. Se encontró que eran frecuentes las afecciones sensitivas como el entumecimiento y toma de varios nervios de miembros inferiores con degeneración axonal. Entre un 40 y 80 % de la población estudiada presentaba síntomas de NPD. La edad avanzada y el sexo masculino se asociaron a mayor presencia de neuropatía.</w:t>
      </w:r>
    </w:p>
    <w:p w14:paraId="5181D74D" w14:textId="77777777" w:rsidR="001A33F5" w:rsidRPr="001A33F5" w:rsidRDefault="001A33F5" w:rsidP="001A33F5">
      <w:pPr>
        <w:rPr>
          <w:rFonts w:eastAsia="Calibri"/>
        </w:rPr>
      </w:pPr>
      <w:r w:rsidRPr="001A33F5">
        <w:rPr>
          <w:rFonts w:eastAsia="Calibri"/>
        </w:rPr>
        <w:lastRenderedPageBreak/>
        <w:t>En el estudio de Gómez y cols.,</w:t>
      </w:r>
      <w:r w:rsidRPr="001A33F5">
        <w:rPr>
          <w:rFonts w:eastAsia="Calibri"/>
          <w:vertAlign w:val="superscript"/>
        </w:rPr>
        <w:t>(</w:t>
      </w:r>
      <w:r w:rsidRPr="001A33F5">
        <w:rPr>
          <w:rFonts w:eastAsia="Calibri"/>
          <w:vertAlign w:val="superscript"/>
        </w:rPr>
        <w:endnoteReference w:id="43"/>
      </w:r>
      <w:r w:rsidRPr="001A33F5">
        <w:rPr>
          <w:rFonts w:eastAsia="Calibri"/>
          <w:vertAlign w:val="superscript"/>
        </w:rPr>
        <w:t xml:space="preserve">) </w:t>
      </w:r>
      <w:r w:rsidRPr="001A33F5">
        <w:rPr>
          <w:rFonts w:eastAsia="Calibri"/>
        </w:rPr>
        <w:t>(2023) realizado en Ciego de Ávila se evaluaron los factores relacionados con la amputación en 627 pacientes con pie diabético divididos en dos grupos de 140 casos según si fueron amputados o no. Entre los pacientes amputados la presencia de NPD fue mayor con un 60,0 %. Los factores de riesgo más importantes fueron la dislipidemia, el tabaquismo y el alcoholismo.</w:t>
      </w:r>
    </w:p>
    <w:p w14:paraId="7D2D73DE" w14:textId="77777777" w:rsidR="001A33F5" w:rsidRPr="001A33F5" w:rsidRDefault="001A33F5" w:rsidP="001A33F5">
      <w:pPr>
        <w:rPr>
          <w:rFonts w:eastAsia="Calibri"/>
        </w:rPr>
      </w:pPr>
      <w:r w:rsidRPr="001A33F5">
        <w:rPr>
          <w:rFonts w:eastAsia="Calibri"/>
        </w:rPr>
        <w:t>En la investigación de Suárez y cols.,</w:t>
      </w:r>
      <w:r w:rsidRPr="001A33F5">
        <w:rPr>
          <w:rFonts w:eastAsia="Calibri"/>
          <w:vertAlign w:val="superscript"/>
        </w:rPr>
        <w:t>(</w:t>
      </w:r>
      <w:r w:rsidRPr="001A33F5">
        <w:rPr>
          <w:rFonts w:eastAsia="Calibri"/>
          <w:vertAlign w:val="superscript"/>
        </w:rPr>
        <w:endnoteReference w:id="44"/>
      </w:r>
      <w:r w:rsidRPr="001A33F5">
        <w:rPr>
          <w:rFonts w:eastAsia="Calibri"/>
          <w:vertAlign w:val="superscript"/>
        </w:rPr>
        <w:t>)</w:t>
      </w:r>
      <w:r w:rsidRPr="001A33F5">
        <w:rPr>
          <w:rFonts w:eastAsia="Calibri"/>
        </w:rPr>
        <w:t xml:space="preserve"> (2024) se realizó una caracterización de 53 pacientes con DM y dislipidemia. En esta población de estudio se constató que la NPD fue la complicación más frecuente con una frecuencia del 54,7%.</w:t>
      </w:r>
    </w:p>
    <w:p w14:paraId="53C3161D" w14:textId="77777777" w:rsidR="001A33F5" w:rsidRPr="001A33F5" w:rsidRDefault="001A33F5" w:rsidP="001A33F5">
      <w:pPr>
        <w:rPr>
          <w:rFonts w:eastAsia="Calibri"/>
        </w:rPr>
      </w:pPr>
      <w:r w:rsidRPr="001A33F5">
        <w:rPr>
          <w:rFonts w:eastAsia="Calibri"/>
        </w:rPr>
        <w:t>El control inadecuado de la glucemia se ha señalado como uno de los principales factores asociados a la NPD.</w:t>
      </w:r>
      <w:r w:rsidRPr="001A33F5">
        <w:rPr>
          <w:rFonts w:eastAsia="Calibri"/>
          <w:vertAlign w:val="superscript"/>
        </w:rPr>
        <w:t>(</w:t>
      </w:r>
      <w:r w:rsidRPr="001A33F5">
        <w:rPr>
          <w:rFonts w:eastAsia="Calibri"/>
          <w:vertAlign w:val="superscript"/>
        </w:rPr>
        <w:endnoteReference w:id="45"/>
      </w:r>
      <w:r w:rsidRPr="001A33F5">
        <w:rPr>
          <w:rFonts w:eastAsia="Calibri"/>
          <w:vertAlign w:val="superscript"/>
        </w:rPr>
        <w:t>)</w:t>
      </w:r>
      <w:r w:rsidRPr="001A33F5">
        <w:rPr>
          <w:rFonts w:eastAsia="Calibri"/>
        </w:rPr>
        <w:t xml:space="preserve"> En Cuba también se ha constatado que el control de la glucemia no es óptimo en muchos pacientes. González y cols.,</w:t>
      </w:r>
      <w:bookmarkStart w:id="74" w:name="_Hlk119434983"/>
      <w:r w:rsidRPr="001A33F5">
        <w:rPr>
          <w:rFonts w:eastAsia="Calibri"/>
          <w:vertAlign w:val="superscript"/>
        </w:rPr>
        <w:t>(</w:t>
      </w:r>
      <w:r w:rsidRPr="001A33F5">
        <w:rPr>
          <w:rFonts w:eastAsia="Calibri"/>
          <w:vertAlign w:val="superscript"/>
        </w:rPr>
        <w:endnoteReference w:id="46"/>
      </w:r>
      <w:r w:rsidRPr="001A33F5">
        <w:rPr>
          <w:rFonts w:eastAsia="Calibri"/>
          <w:vertAlign w:val="superscript"/>
        </w:rPr>
        <w:t>)</w:t>
      </w:r>
      <w:bookmarkEnd w:id="74"/>
      <w:r w:rsidRPr="001A33F5">
        <w:rPr>
          <w:rFonts w:eastAsia="Calibri"/>
        </w:rPr>
        <w:t xml:space="preserve"> (2021) en una investigación que incluyo 56 pacientes con DM en cuatro policlínicos y dos centros de atención al diabético de dos territorios geográficos diferentes y distantes, informan que persisten múltiples dificultades en la atención adecuada, y por tanto en la capacidad para el control de estos enfermos, que van desde problemas económicos a comunicativos.</w:t>
      </w:r>
      <w:r w:rsidRPr="001A33F5">
        <w:rPr>
          <w:rFonts w:eastAsia="Calibri"/>
          <w:vertAlign w:val="superscript"/>
        </w:rPr>
        <w:t xml:space="preserve"> </w:t>
      </w:r>
    </w:p>
    <w:p w14:paraId="7E344A25" w14:textId="77777777" w:rsidR="001A33F5" w:rsidRPr="001A33F5" w:rsidRDefault="001A33F5" w:rsidP="001A33F5">
      <w:pPr>
        <w:rPr>
          <w:rFonts w:eastAsia="Calibri"/>
        </w:rPr>
      </w:pPr>
      <w:r w:rsidRPr="001A33F5">
        <w:rPr>
          <w:rFonts w:eastAsia="Calibri"/>
        </w:rPr>
        <w:t>Martínez y cols.,</w:t>
      </w:r>
      <w:r w:rsidRPr="001A33F5">
        <w:rPr>
          <w:rFonts w:eastAsia="Calibri"/>
          <w:vertAlign w:val="superscript"/>
        </w:rPr>
        <w:t>(</w:t>
      </w:r>
      <w:r w:rsidRPr="001A33F5">
        <w:rPr>
          <w:rFonts w:eastAsia="Calibri"/>
          <w:vertAlign w:val="superscript"/>
        </w:rPr>
        <w:endnoteReference w:id="47"/>
      </w:r>
      <w:r w:rsidRPr="001A33F5">
        <w:rPr>
          <w:rFonts w:eastAsia="Calibri"/>
          <w:vertAlign w:val="superscript"/>
        </w:rPr>
        <w:t>)</w:t>
      </w:r>
      <w:r w:rsidRPr="001A33F5">
        <w:rPr>
          <w:rFonts w:eastAsia="Calibri"/>
        </w:rPr>
        <w:t xml:space="preserve"> (2022) realizaron una labor promocional de salud en 45 pacientes diabéticos que asisten de forma integral en un policlínico en Santa Clara. Se constató que la mayoría de los pacientes tenían un control inadecuado de su enfermedad, lo que se logró revertir mediante una intervención educativa.</w:t>
      </w:r>
      <w:r w:rsidRPr="001A33F5">
        <w:rPr>
          <w:rFonts w:eastAsia="Calibri"/>
          <w:vertAlign w:val="superscript"/>
        </w:rPr>
        <w:t xml:space="preserve"> </w:t>
      </w:r>
    </w:p>
    <w:p w14:paraId="156A1394" w14:textId="0081892F" w:rsidR="001C52AA" w:rsidRPr="00470588" w:rsidRDefault="001A33F5" w:rsidP="001C52AA">
      <w:pPr>
        <w:rPr>
          <w:rFonts w:eastAsia="Calibri"/>
        </w:rPr>
      </w:pPr>
      <w:r w:rsidRPr="001A33F5">
        <w:rPr>
          <w:rFonts w:eastAsia="Calibri"/>
        </w:rPr>
        <w:t xml:space="preserve">La evidencia referida con anterioridad muestra la necesidad de que los especialistas de angiología conozcan sobre las características clínicas de los pacientes con DM que acuden a la consulta de Angiología con evidencia de complicaciones. </w:t>
      </w:r>
    </w:p>
    <w:p w14:paraId="45B75B9F" w14:textId="0FC74AA7" w:rsidR="000C73FA" w:rsidRPr="00470588" w:rsidRDefault="000C73FA" w:rsidP="000C73FA">
      <w:pPr>
        <w:pStyle w:val="Heading1"/>
        <w:rPr>
          <w:rFonts w:ascii="Arial" w:hAnsi="Arial" w:cs="Arial"/>
          <w:b/>
          <w:bCs/>
          <w:color w:val="auto"/>
          <w:sz w:val="24"/>
          <w:szCs w:val="24"/>
        </w:rPr>
      </w:pPr>
      <w:bookmarkStart w:id="75" w:name="_Toc178713982"/>
      <w:r w:rsidRPr="00470588">
        <w:rPr>
          <w:rFonts w:ascii="Arial" w:hAnsi="Arial" w:cs="Arial"/>
          <w:b/>
          <w:bCs/>
          <w:color w:val="auto"/>
          <w:sz w:val="24"/>
          <w:szCs w:val="24"/>
        </w:rPr>
        <w:lastRenderedPageBreak/>
        <w:t>METODOLOGÍA</w:t>
      </w:r>
      <w:bookmarkEnd w:id="75"/>
    </w:p>
    <w:p w14:paraId="7293515E" w14:textId="3A457AB1" w:rsidR="001C52AA" w:rsidRPr="00470588" w:rsidRDefault="001C52AA" w:rsidP="001C52AA">
      <w:pPr>
        <w:pStyle w:val="Heading2"/>
        <w:rPr>
          <w:rFonts w:ascii="Arial" w:hAnsi="Arial" w:cs="Arial"/>
          <w:b/>
          <w:bCs/>
          <w:color w:val="auto"/>
          <w:sz w:val="24"/>
          <w:szCs w:val="24"/>
        </w:rPr>
      </w:pPr>
      <w:bookmarkStart w:id="76" w:name="_Hlk67248521"/>
      <w:bookmarkStart w:id="77" w:name="_Toc178713983"/>
      <w:r w:rsidRPr="00470588">
        <w:rPr>
          <w:rFonts w:ascii="Arial" w:hAnsi="Arial" w:cs="Arial"/>
          <w:b/>
          <w:bCs/>
          <w:color w:val="auto"/>
          <w:sz w:val="24"/>
          <w:szCs w:val="24"/>
        </w:rPr>
        <w:t>Tipo de estudio</w:t>
      </w:r>
      <w:bookmarkEnd w:id="77"/>
    </w:p>
    <w:p w14:paraId="72828E3D" w14:textId="2F3B1174" w:rsidR="001C52AA" w:rsidRPr="00470588" w:rsidRDefault="001C52AA" w:rsidP="001C52AA">
      <w:r w:rsidRPr="00470588">
        <w:t xml:space="preserve">Se realizará un estudio observacional, </w:t>
      </w:r>
      <w:r w:rsidR="00162AE1" w:rsidRPr="00470588">
        <w:t>transversal y analítico</w:t>
      </w:r>
      <w:r w:rsidRPr="00470588">
        <w:t xml:space="preserve">, con pacientes </w:t>
      </w:r>
      <w:r w:rsidR="005F6B62" w:rsidRPr="00470588">
        <w:t xml:space="preserve">diabéticos </w:t>
      </w:r>
      <w:r w:rsidRPr="00470588">
        <w:t xml:space="preserve">atendidos en el </w:t>
      </w:r>
      <w:bookmarkStart w:id="78" w:name="_Hlk173127443"/>
      <w:r w:rsidRPr="00470588">
        <w:t>policlínico Cerro</w:t>
      </w:r>
      <w:bookmarkEnd w:id="78"/>
      <w:r w:rsidRPr="00470588">
        <w:t>, durante el período de septiembre del 2024 a noviembre del 202</w:t>
      </w:r>
      <w:bookmarkEnd w:id="76"/>
      <w:r w:rsidRPr="00470588">
        <w:t>4.</w:t>
      </w:r>
    </w:p>
    <w:p w14:paraId="726CA450" w14:textId="378E21EB" w:rsidR="001C52AA" w:rsidRPr="00470588" w:rsidRDefault="001C52AA" w:rsidP="001C52AA">
      <w:pPr>
        <w:pStyle w:val="Heading2"/>
        <w:rPr>
          <w:rFonts w:ascii="Arial" w:hAnsi="Arial" w:cs="Arial"/>
          <w:b/>
          <w:bCs/>
          <w:color w:val="auto"/>
          <w:sz w:val="24"/>
          <w:szCs w:val="24"/>
        </w:rPr>
      </w:pPr>
      <w:bookmarkStart w:id="79" w:name="_Toc178713984"/>
      <w:r w:rsidRPr="00470588">
        <w:rPr>
          <w:rFonts w:ascii="Arial" w:hAnsi="Arial" w:cs="Arial"/>
          <w:b/>
          <w:bCs/>
          <w:color w:val="auto"/>
          <w:sz w:val="24"/>
          <w:szCs w:val="24"/>
        </w:rPr>
        <w:t>Universo y muestra</w:t>
      </w:r>
      <w:bookmarkEnd w:id="79"/>
    </w:p>
    <w:p w14:paraId="4CE87E4F" w14:textId="77777777" w:rsidR="001C52AA" w:rsidRPr="00470588" w:rsidRDefault="001C52AA" w:rsidP="001C52AA">
      <w:pPr>
        <w:rPr>
          <w:i/>
          <w:iCs/>
        </w:rPr>
      </w:pPr>
      <w:r w:rsidRPr="00470588">
        <w:rPr>
          <w:i/>
          <w:iCs/>
        </w:rPr>
        <w:t>Universo:</w:t>
      </w:r>
    </w:p>
    <w:p w14:paraId="0D62C26A" w14:textId="60FE6B44" w:rsidR="001C52AA" w:rsidRPr="00470588" w:rsidRDefault="001C52AA" w:rsidP="001C52AA">
      <w:r w:rsidRPr="00470588">
        <w:t xml:space="preserve">Todos los pacientes </w:t>
      </w:r>
      <w:r w:rsidR="00213943" w:rsidRPr="00470588">
        <w:t xml:space="preserve">con diagnóstico de DM </w:t>
      </w:r>
      <w:r w:rsidRPr="00470588">
        <w:t>atendidos en el policlínico Cerro, durante el período de septiembre del 2024 a noviembre del 2024.</w:t>
      </w:r>
    </w:p>
    <w:p w14:paraId="20C90B44" w14:textId="77777777" w:rsidR="001C52AA" w:rsidRPr="00470588" w:rsidRDefault="001C52AA" w:rsidP="001C52AA">
      <w:pPr>
        <w:rPr>
          <w:i/>
          <w:iCs/>
        </w:rPr>
      </w:pPr>
      <w:r w:rsidRPr="00470588">
        <w:rPr>
          <w:i/>
          <w:iCs/>
        </w:rPr>
        <w:t>Muestra:</w:t>
      </w:r>
    </w:p>
    <w:p w14:paraId="5BC1F05D" w14:textId="258935D6" w:rsidR="001C52AA" w:rsidRPr="00470588" w:rsidRDefault="008C0379" w:rsidP="001C52AA">
      <w:r w:rsidRPr="00470588">
        <w:t xml:space="preserve">La población de estudio quedará conformada </w:t>
      </w:r>
      <w:r w:rsidR="001C52AA" w:rsidRPr="00470588">
        <w:t xml:space="preserve">por pacientes </w:t>
      </w:r>
      <w:r w:rsidRPr="00470588">
        <w:t xml:space="preserve">del universo </w:t>
      </w:r>
      <w:r w:rsidR="001C52AA" w:rsidRPr="00470588">
        <w:t xml:space="preserve">que cumplan con los </w:t>
      </w:r>
      <w:r w:rsidRPr="00470588">
        <w:t xml:space="preserve">siguientes </w:t>
      </w:r>
      <w:r w:rsidR="001C52AA" w:rsidRPr="00470588">
        <w:t>criterios de inclusión y exclusión.</w:t>
      </w:r>
    </w:p>
    <w:p w14:paraId="55B1A07D" w14:textId="77777777" w:rsidR="00201872" w:rsidRPr="00470588" w:rsidRDefault="00201872" w:rsidP="00201872">
      <w:pPr>
        <w:rPr>
          <w:u w:val="single"/>
        </w:rPr>
      </w:pPr>
      <w:r w:rsidRPr="00470588">
        <w:rPr>
          <w:u w:val="single"/>
        </w:rPr>
        <w:t xml:space="preserve">Criterios de inclusión: </w:t>
      </w:r>
    </w:p>
    <w:p w14:paraId="1A66D219" w14:textId="4538AA88" w:rsidR="00201872" w:rsidRPr="00470588" w:rsidRDefault="00201872" w:rsidP="00201872">
      <w:pPr>
        <w:pStyle w:val="ListParagraph"/>
        <w:numPr>
          <w:ilvl w:val="0"/>
          <w:numId w:val="8"/>
        </w:numPr>
      </w:pPr>
      <w:r w:rsidRPr="00470588">
        <w:t>Individuos mayores de 18 años.</w:t>
      </w:r>
    </w:p>
    <w:p w14:paraId="4104ACC1" w14:textId="7B4B4116" w:rsidR="00201872" w:rsidRPr="00470588" w:rsidRDefault="00201872" w:rsidP="00201872">
      <w:pPr>
        <w:pStyle w:val="ListParagraph"/>
        <w:numPr>
          <w:ilvl w:val="0"/>
          <w:numId w:val="8"/>
        </w:numPr>
      </w:pPr>
      <w:r w:rsidRPr="00470588">
        <w:t>Pacientes que den su consentimiento para participar en el estudio.</w:t>
      </w:r>
    </w:p>
    <w:p w14:paraId="6B64342A" w14:textId="77777777" w:rsidR="00201872" w:rsidRPr="00470588" w:rsidRDefault="00201872" w:rsidP="00201872">
      <w:pPr>
        <w:rPr>
          <w:u w:val="single"/>
        </w:rPr>
      </w:pPr>
      <w:r w:rsidRPr="00470588">
        <w:rPr>
          <w:u w:val="single"/>
        </w:rPr>
        <w:t>Criterios de exclusión:</w:t>
      </w:r>
    </w:p>
    <w:p w14:paraId="7E32171B" w14:textId="13D18DF3" w:rsidR="00201872" w:rsidRPr="00470588" w:rsidRDefault="00201872" w:rsidP="00201872">
      <w:pPr>
        <w:pStyle w:val="ListParagraph"/>
        <w:numPr>
          <w:ilvl w:val="0"/>
          <w:numId w:val="9"/>
        </w:numPr>
      </w:pPr>
      <w:r w:rsidRPr="00470588">
        <w:t>Pacientes con antecedentes de neuropatía periférica no diabética.</w:t>
      </w:r>
    </w:p>
    <w:p w14:paraId="62AD5DB8" w14:textId="0C6833D2" w:rsidR="00201872" w:rsidRPr="00470588" w:rsidRDefault="00201872" w:rsidP="00201872">
      <w:pPr>
        <w:pStyle w:val="ListParagraph"/>
        <w:numPr>
          <w:ilvl w:val="0"/>
          <w:numId w:val="9"/>
        </w:numPr>
      </w:pPr>
      <w:r w:rsidRPr="00470588">
        <w:t>Mujeres embarazadas.</w:t>
      </w:r>
    </w:p>
    <w:p w14:paraId="35C4E399" w14:textId="6F39AA23" w:rsidR="00201872" w:rsidRPr="00470588" w:rsidRDefault="00201872" w:rsidP="001C52AA">
      <w:pPr>
        <w:pStyle w:val="ListParagraph"/>
        <w:numPr>
          <w:ilvl w:val="0"/>
          <w:numId w:val="9"/>
        </w:numPr>
      </w:pPr>
      <w:r w:rsidRPr="00470588">
        <w:t>P</w:t>
      </w:r>
      <w:r w:rsidR="00AE1D56">
        <w:t xml:space="preserve">acientes que no </w:t>
      </w:r>
      <w:r w:rsidR="0065429C">
        <w:t>cooperen por distintas causas con el interrogatorio o el examen físico</w:t>
      </w:r>
      <w:r w:rsidRPr="00470588">
        <w:t>.</w:t>
      </w:r>
    </w:p>
    <w:p w14:paraId="705299ED" w14:textId="0FFF6A8D" w:rsidR="008C0379" w:rsidRPr="00470588" w:rsidRDefault="008C0379" w:rsidP="001C52AA">
      <w:r w:rsidRPr="00470588">
        <w:t>El cálculo de la muestra se har</w:t>
      </w:r>
      <w:r w:rsidR="00991DEF" w:rsidRPr="00470588">
        <w:t>á</w:t>
      </w:r>
      <w:r w:rsidR="002B5D88" w:rsidRPr="00470588">
        <w:t xml:space="preserve"> con la fórmula de </w:t>
      </w:r>
      <w:r w:rsidR="0004380C" w:rsidRPr="00470588">
        <w:t>cálculo</w:t>
      </w:r>
      <w:r w:rsidR="002B5D88" w:rsidRPr="00470588">
        <w:t xml:space="preserve"> </w:t>
      </w:r>
      <w:r w:rsidR="0004380C" w:rsidRPr="00470588">
        <w:t>para una población conocida (N) un error máximo</w:t>
      </w:r>
      <w:r w:rsidR="00CE2682" w:rsidRPr="00470588">
        <w:t xml:space="preserve"> o </w:t>
      </w:r>
      <w:r w:rsidR="00991DEF" w:rsidRPr="00470588">
        <w:t>precisión</w:t>
      </w:r>
      <w:r w:rsidR="0004380C" w:rsidRPr="00470588">
        <w:t xml:space="preserve"> de 5</w:t>
      </w:r>
      <w:r w:rsidR="00D56F0D" w:rsidRPr="00470588">
        <w:t>,0</w:t>
      </w:r>
      <w:r w:rsidR="0004380C" w:rsidRPr="00470588">
        <w:t xml:space="preserve"> % y un nivel de confianza del 95</w:t>
      </w:r>
      <w:r w:rsidR="00D56F0D" w:rsidRPr="00470588">
        <w:t>,0</w:t>
      </w:r>
      <w:r w:rsidR="0004380C" w:rsidRPr="00470588">
        <w:t xml:space="preserve"> %. La </w:t>
      </w:r>
      <w:r w:rsidR="00CE2682" w:rsidRPr="00470588">
        <w:t>proporción esperada</w:t>
      </w:r>
      <w:r w:rsidR="0004380C" w:rsidRPr="00470588">
        <w:t xml:space="preserve"> (p) es desconocida por lo que se asume de 0,5 e igual valor adquiere q</w:t>
      </w:r>
      <w:r w:rsidR="00162AE1" w:rsidRPr="00470588">
        <w:t xml:space="preserve">. </w:t>
      </w:r>
    </w:p>
    <w:p w14:paraId="4DDC16A7" w14:textId="5BDCFDF1" w:rsidR="00162AE1" w:rsidRPr="00470588" w:rsidRDefault="00162AE1" w:rsidP="001C52AA"/>
    <w:p w14:paraId="111B4976" w14:textId="260DE841" w:rsidR="000C332A" w:rsidRPr="00470588" w:rsidRDefault="000C332A" w:rsidP="001C52AA">
      <w:r w:rsidRPr="00470588">
        <w:rPr>
          <w:noProof/>
          <w:lang w:val="es-ES" w:eastAsia="es-ES"/>
        </w:rPr>
        <w:lastRenderedPageBreak/>
        <w:drawing>
          <wp:anchor distT="0" distB="0" distL="114300" distR="114300" simplePos="0" relativeHeight="251658240" behindDoc="0" locked="0" layoutInCell="1" allowOverlap="1" wp14:anchorId="11613941" wp14:editId="54EE238E">
            <wp:simplePos x="0" y="0"/>
            <wp:positionH relativeFrom="margin">
              <wp:posOffset>-221395</wp:posOffset>
            </wp:positionH>
            <wp:positionV relativeFrom="paragraph">
              <wp:posOffset>-80812</wp:posOffset>
            </wp:positionV>
            <wp:extent cx="5316409" cy="2003729"/>
            <wp:effectExtent l="0" t="0" r="0" b="0"/>
            <wp:wrapNone/>
            <wp:docPr id="646474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74007" name=""/>
                    <pic:cNvPicPr/>
                  </pic:nvPicPr>
                  <pic:blipFill rotWithShape="1">
                    <a:blip r:embed="rId10">
                      <a:extLst>
                        <a:ext uri="{28A0092B-C50C-407E-A947-70E740481C1C}">
                          <a14:useLocalDpi xmlns:a14="http://schemas.microsoft.com/office/drawing/2010/main" val="0"/>
                        </a:ext>
                      </a:extLst>
                    </a:blip>
                    <a:srcRect l="15755" t="51830" r="29170" b="14949"/>
                    <a:stretch/>
                  </pic:blipFill>
                  <pic:spPr bwMode="auto">
                    <a:xfrm>
                      <a:off x="0" y="0"/>
                      <a:ext cx="5323651" cy="20064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76F2DA" w14:textId="13A17E80" w:rsidR="000C332A" w:rsidRPr="00470588" w:rsidRDefault="000C332A" w:rsidP="001C52AA"/>
    <w:p w14:paraId="3C787696" w14:textId="1968D4CC" w:rsidR="000C332A" w:rsidRPr="00470588" w:rsidRDefault="000C332A" w:rsidP="001C52AA"/>
    <w:p w14:paraId="2B0B022E" w14:textId="77777777" w:rsidR="000C332A" w:rsidRPr="00470588" w:rsidRDefault="000C332A" w:rsidP="001C52AA"/>
    <w:p w14:paraId="4636B236" w14:textId="51C24CEC" w:rsidR="000C332A" w:rsidRPr="00470588" w:rsidRDefault="000C332A" w:rsidP="001C52AA"/>
    <w:p w14:paraId="5BD080B6" w14:textId="77777777" w:rsidR="000C332A" w:rsidRPr="00470588" w:rsidRDefault="000C332A" w:rsidP="001C52AA"/>
    <w:p w14:paraId="26DD7163" w14:textId="269A99E8" w:rsidR="008C0379" w:rsidRPr="00470588" w:rsidRDefault="009C5693" w:rsidP="001C52AA">
      <w:r w:rsidRPr="00470588">
        <w:t>S</w:t>
      </w:r>
      <w:r w:rsidR="005D2D3E" w:rsidRPr="00470588">
        <w:t xml:space="preserve">e utilizará el siguiente sitio web para realizar el cálculo: </w:t>
      </w:r>
      <w:hyperlink r:id="rId11" w:history="1">
        <w:r w:rsidR="005D2D3E" w:rsidRPr="00470588">
          <w:rPr>
            <w:rStyle w:val="Hyperlink"/>
          </w:rPr>
          <w:t>http://www.berrie.dds.nl/calcss.htm</w:t>
        </w:r>
      </w:hyperlink>
      <w:r w:rsidR="005D2D3E" w:rsidRPr="00470588">
        <w:t xml:space="preserve">. </w:t>
      </w:r>
      <w:r w:rsidR="00162AE1" w:rsidRPr="00470588">
        <w:t xml:space="preserve">Si la población de estudio es susceptible de ser </w:t>
      </w:r>
      <w:r w:rsidR="00A15BBB" w:rsidRPr="00470588">
        <w:t>analizada</w:t>
      </w:r>
      <w:r w:rsidR="00162AE1" w:rsidRPr="00470588">
        <w:t xml:space="preserve"> en su totalidad</w:t>
      </w:r>
      <w:r w:rsidRPr="00470588">
        <w:t>,</w:t>
      </w:r>
      <w:r w:rsidR="00A15BBB" w:rsidRPr="00470588">
        <w:t xml:space="preserve"> no será necesario el cálculo de una muestra.</w:t>
      </w:r>
    </w:p>
    <w:p w14:paraId="3A2F169F" w14:textId="1DC96CDD" w:rsidR="001C52AA" w:rsidRPr="00470588" w:rsidRDefault="001C52AA" w:rsidP="001A1796">
      <w:pPr>
        <w:pStyle w:val="Heading2"/>
        <w:rPr>
          <w:rFonts w:ascii="Arial" w:hAnsi="Arial" w:cs="Arial"/>
          <w:b/>
          <w:bCs/>
          <w:color w:val="auto"/>
          <w:sz w:val="24"/>
          <w:szCs w:val="24"/>
        </w:rPr>
      </w:pPr>
      <w:bookmarkStart w:id="80" w:name="_Toc178713985"/>
      <w:r w:rsidRPr="00470588">
        <w:rPr>
          <w:rFonts w:ascii="Arial" w:hAnsi="Arial" w:cs="Arial"/>
          <w:b/>
          <w:bCs/>
          <w:color w:val="auto"/>
          <w:sz w:val="24"/>
          <w:szCs w:val="24"/>
        </w:rPr>
        <w:t>Variables</w:t>
      </w:r>
      <w:bookmarkEnd w:id="80"/>
    </w:p>
    <w:p w14:paraId="45D3BF2F" w14:textId="29719591" w:rsidR="001C52AA" w:rsidRPr="00470588" w:rsidRDefault="001C52AA" w:rsidP="0056483B">
      <w:pPr>
        <w:pStyle w:val="ListParagraph"/>
        <w:numPr>
          <w:ilvl w:val="0"/>
          <w:numId w:val="10"/>
        </w:numPr>
      </w:pPr>
      <w:r w:rsidRPr="00470588">
        <w:t>Principal de salida o desenlace:</w:t>
      </w:r>
      <w:r w:rsidR="008C0379" w:rsidRPr="00470588">
        <w:t xml:space="preserve"> </w:t>
      </w:r>
      <w:r w:rsidRPr="00470588">
        <w:t>Prevalencia de personas con NDP, se realizará el cálculo dividiendo el número de personas diagnosticadas con DM entre el total de pacientes vistos, ofreciendo un valor de incertidumbre de %.</w:t>
      </w:r>
    </w:p>
    <w:p w14:paraId="63026F20" w14:textId="60F77DCA" w:rsidR="0056483B" w:rsidRPr="00470588" w:rsidRDefault="001C52AA" w:rsidP="001C52AA">
      <w:pPr>
        <w:pStyle w:val="ListParagraph"/>
        <w:numPr>
          <w:ilvl w:val="0"/>
          <w:numId w:val="10"/>
        </w:numPr>
      </w:pPr>
      <w:r w:rsidRPr="00470588">
        <w:t>Secundaria de salida:</w:t>
      </w:r>
      <w:r w:rsidR="008C0379" w:rsidRPr="00470588">
        <w:t xml:space="preserve"> </w:t>
      </w:r>
      <w:r w:rsidRPr="00470588">
        <w:t>Son los factores asociados a la neuropatía diabética</w:t>
      </w:r>
      <w:r w:rsidR="005F08F7" w:rsidRPr="00470588">
        <w:t>.</w:t>
      </w:r>
    </w:p>
    <w:p w14:paraId="697FD7CA" w14:textId="77D4361E" w:rsidR="0056483B" w:rsidRPr="00470588" w:rsidRDefault="0056483B" w:rsidP="001C52AA">
      <w:pPr>
        <w:rPr>
          <w:i/>
          <w:iCs/>
        </w:rPr>
      </w:pPr>
      <w:r w:rsidRPr="00470588">
        <w:rPr>
          <w:i/>
          <w:iCs/>
        </w:rPr>
        <w:t>Operacionalización de las variables</w:t>
      </w:r>
    </w:p>
    <w:tbl>
      <w:tblPr>
        <w:tblStyle w:val="PlainTable4"/>
        <w:tblW w:w="10206" w:type="dxa"/>
        <w:jc w:val="center"/>
        <w:tblLook w:val="04A0" w:firstRow="1" w:lastRow="0" w:firstColumn="1" w:lastColumn="0" w:noHBand="0" w:noVBand="1"/>
      </w:tblPr>
      <w:tblGrid>
        <w:gridCol w:w="2311"/>
        <w:gridCol w:w="1697"/>
        <w:gridCol w:w="2366"/>
        <w:gridCol w:w="1889"/>
        <w:gridCol w:w="1943"/>
      </w:tblGrid>
      <w:tr w:rsidR="00162AE1" w:rsidRPr="00470588" w14:paraId="109296FD" w14:textId="77777777" w:rsidTr="008A443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1" w:type="dxa"/>
            <w:shd w:val="clear" w:color="auto" w:fill="BDD6EE" w:themeFill="accent5" w:themeFillTint="66"/>
          </w:tcPr>
          <w:p w14:paraId="07088224" w14:textId="77777777" w:rsidR="00162AE1" w:rsidRPr="00470588" w:rsidRDefault="00162AE1" w:rsidP="00941475">
            <w:pPr>
              <w:rPr>
                <w:rFonts w:eastAsia="Calibri"/>
              </w:rPr>
            </w:pPr>
            <w:r w:rsidRPr="00470588">
              <w:rPr>
                <w:rFonts w:eastAsia="Calibri"/>
              </w:rPr>
              <w:t>Variables</w:t>
            </w:r>
          </w:p>
        </w:tc>
        <w:tc>
          <w:tcPr>
            <w:tcW w:w="1697" w:type="dxa"/>
            <w:shd w:val="clear" w:color="auto" w:fill="BDD6EE" w:themeFill="accent5" w:themeFillTint="66"/>
          </w:tcPr>
          <w:p w14:paraId="6C755C71" w14:textId="77777777" w:rsidR="00162AE1" w:rsidRPr="00470588" w:rsidRDefault="00162AE1" w:rsidP="00941475">
            <w:pPr>
              <w:cnfStyle w:val="100000000000" w:firstRow="1" w:lastRow="0" w:firstColumn="0" w:lastColumn="0" w:oddVBand="0" w:evenVBand="0" w:oddHBand="0" w:evenHBand="0" w:firstRowFirstColumn="0" w:firstRowLastColumn="0" w:lastRowFirstColumn="0" w:lastRowLastColumn="0"/>
              <w:rPr>
                <w:rFonts w:eastAsia="Calibri"/>
              </w:rPr>
            </w:pPr>
            <w:r w:rsidRPr="00470588">
              <w:rPr>
                <w:rFonts w:eastAsia="Calibri"/>
              </w:rPr>
              <w:t>Clasificación</w:t>
            </w:r>
          </w:p>
        </w:tc>
        <w:tc>
          <w:tcPr>
            <w:tcW w:w="2366" w:type="dxa"/>
            <w:shd w:val="clear" w:color="auto" w:fill="BDD6EE" w:themeFill="accent5" w:themeFillTint="66"/>
          </w:tcPr>
          <w:p w14:paraId="6D68522F" w14:textId="77777777" w:rsidR="00162AE1" w:rsidRPr="00470588" w:rsidRDefault="00162AE1" w:rsidP="00941475">
            <w:pPr>
              <w:cnfStyle w:val="100000000000" w:firstRow="1" w:lastRow="0" w:firstColumn="0" w:lastColumn="0" w:oddVBand="0" w:evenVBand="0" w:oddHBand="0" w:evenHBand="0" w:firstRowFirstColumn="0" w:firstRowLastColumn="0" w:lastRowFirstColumn="0" w:lastRowLastColumn="0"/>
              <w:rPr>
                <w:rFonts w:eastAsia="Calibri"/>
              </w:rPr>
            </w:pPr>
            <w:r w:rsidRPr="00470588">
              <w:rPr>
                <w:rFonts w:eastAsia="Calibri"/>
              </w:rPr>
              <w:t>Definición operacional</w:t>
            </w:r>
          </w:p>
        </w:tc>
        <w:tc>
          <w:tcPr>
            <w:tcW w:w="1889" w:type="dxa"/>
            <w:shd w:val="clear" w:color="auto" w:fill="BDD6EE" w:themeFill="accent5" w:themeFillTint="66"/>
          </w:tcPr>
          <w:p w14:paraId="5625CE15" w14:textId="77777777" w:rsidR="00162AE1" w:rsidRPr="00470588" w:rsidRDefault="00162AE1" w:rsidP="00941475">
            <w:pPr>
              <w:cnfStyle w:val="100000000000" w:firstRow="1" w:lastRow="0" w:firstColumn="0" w:lastColumn="0" w:oddVBand="0" w:evenVBand="0" w:oddHBand="0" w:evenHBand="0" w:firstRowFirstColumn="0" w:firstRowLastColumn="0" w:lastRowFirstColumn="0" w:lastRowLastColumn="0"/>
              <w:rPr>
                <w:rFonts w:eastAsia="Calibri"/>
              </w:rPr>
            </w:pPr>
            <w:r w:rsidRPr="00470588">
              <w:rPr>
                <w:rFonts w:eastAsia="Calibri"/>
              </w:rPr>
              <w:t>Escala de clasificación</w:t>
            </w:r>
          </w:p>
        </w:tc>
        <w:tc>
          <w:tcPr>
            <w:tcW w:w="1943" w:type="dxa"/>
            <w:shd w:val="clear" w:color="auto" w:fill="BDD6EE" w:themeFill="accent5" w:themeFillTint="66"/>
          </w:tcPr>
          <w:p w14:paraId="035FE2F6" w14:textId="77777777" w:rsidR="00162AE1" w:rsidRPr="00470588" w:rsidRDefault="00162AE1" w:rsidP="00941475">
            <w:pPr>
              <w:cnfStyle w:val="100000000000" w:firstRow="1" w:lastRow="0" w:firstColumn="0" w:lastColumn="0" w:oddVBand="0" w:evenVBand="0" w:oddHBand="0" w:evenHBand="0" w:firstRowFirstColumn="0" w:firstRowLastColumn="0" w:lastRowFirstColumn="0" w:lastRowLastColumn="0"/>
              <w:rPr>
                <w:rFonts w:eastAsia="Calibri"/>
              </w:rPr>
            </w:pPr>
            <w:r w:rsidRPr="00470588">
              <w:rPr>
                <w:rFonts w:eastAsia="Calibri"/>
              </w:rPr>
              <w:t>Análisis</w:t>
            </w:r>
          </w:p>
        </w:tc>
      </w:tr>
      <w:tr w:rsidR="00162AE1" w:rsidRPr="00470588" w14:paraId="6EB24E68" w14:textId="77777777" w:rsidTr="008A44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62B73469" w14:textId="77777777" w:rsidR="00162AE1" w:rsidRPr="00470588" w:rsidRDefault="00162AE1" w:rsidP="00941475">
            <w:pPr>
              <w:rPr>
                <w:rFonts w:eastAsia="Calibri"/>
              </w:rPr>
            </w:pPr>
            <w:r w:rsidRPr="00470588">
              <w:rPr>
                <w:rFonts w:eastAsia="Calibri"/>
              </w:rPr>
              <w:t>Edad</w:t>
            </w:r>
          </w:p>
        </w:tc>
        <w:tc>
          <w:tcPr>
            <w:tcW w:w="1697" w:type="dxa"/>
            <w:shd w:val="clear" w:color="auto" w:fill="auto"/>
          </w:tcPr>
          <w:p w14:paraId="29628B72" w14:textId="77777777"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rPr>
                <w:rFonts w:eastAsia="Calibri"/>
              </w:rPr>
            </w:pPr>
            <w:r w:rsidRPr="00470588">
              <w:rPr>
                <w:rFonts w:eastAsia="Calibri"/>
              </w:rPr>
              <w:t>Cuantitativa continua</w:t>
            </w:r>
          </w:p>
        </w:tc>
        <w:tc>
          <w:tcPr>
            <w:tcW w:w="2366" w:type="dxa"/>
            <w:shd w:val="clear" w:color="auto" w:fill="auto"/>
          </w:tcPr>
          <w:p w14:paraId="448C4C16" w14:textId="77777777"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rPr>
                <w:rFonts w:eastAsia="Calibri"/>
              </w:rPr>
            </w:pPr>
            <w:r w:rsidRPr="00470588">
              <w:rPr>
                <w:rFonts w:eastAsia="Calibri"/>
              </w:rPr>
              <w:t>Según años cumplidos.</w:t>
            </w:r>
          </w:p>
        </w:tc>
        <w:tc>
          <w:tcPr>
            <w:tcW w:w="1889" w:type="dxa"/>
            <w:shd w:val="clear" w:color="auto" w:fill="auto"/>
          </w:tcPr>
          <w:p w14:paraId="554FC042" w14:textId="77777777"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rPr>
                <w:rFonts w:eastAsia="Calibri"/>
              </w:rPr>
            </w:pPr>
            <w:r w:rsidRPr="00470588">
              <w:rPr>
                <w:rFonts w:eastAsia="Calibri"/>
              </w:rPr>
              <w:t>-</w:t>
            </w:r>
          </w:p>
        </w:tc>
        <w:tc>
          <w:tcPr>
            <w:tcW w:w="1943" w:type="dxa"/>
            <w:shd w:val="clear" w:color="auto" w:fill="auto"/>
          </w:tcPr>
          <w:p w14:paraId="6F8F7CC4" w14:textId="77777777"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rPr>
                <w:rFonts w:eastAsia="Calibri"/>
              </w:rPr>
            </w:pPr>
            <w:r w:rsidRPr="00470588">
              <w:rPr>
                <w:rFonts w:eastAsia="Calibri"/>
              </w:rPr>
              <w:t>Media ± DE, T de student para muestras no relacionadas.</w:t>
            </w:r>
          </w:p>
        </w:tc>
      </w:tr>
      <w:tr w:rsidR="00162AE1" w:rsidRPr="00470588" w14:paraId="30048F02" w14:textId="77777777" w:rsidTr="008A4432">
        <w:trPr>
          <w:jc w:val="center"/>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4976D881" w14:textId="77777777" w:rsidR="00162AE1" w:rsidRPr="00470588" w:rsidRDefault="00162AE1" w:rsidP="00941475">
            <w:pPr>
              <w:rPr>
                <w:rFonts w:eastAsia="Calibri"/>
              </w:rPr>
            </w:pPr>
            <w:r w:rsidRPr="00470588">
              <w:rPr>
                <w:rFonts w:eastAsia="Calibri"/>
              </w:rPr>
              <w:t>Sexo</w:t>
            </w:r>
          </w:p>
        </w:tc>
        <w:tc>
          <w:tcPr>
            <w:tcW w:w="1697" w:type="dxa"/>
            <w:shd w:val="clear" w:color="auto" w:fill="auto"/>
          </w:tcPr>
          <w:p w14:paraId="6F5C95EA" w14:textId="77777777" w:rsidR="00162AE1" w:rsidRPr="00470588" w:rsidRDefault="00162AE1" w:rsidP="00941475">
            <w:pPr>
              <w:cnfStyle w:val="000000000000" w:firstRow="0" w:lastRow="0" w:firstColumn="0" w:lastColumn="0" w:oddVBand="0" w:evenVBand="0" w:oddHBand="0" w:evenHBand="0" w:firstRowFirstColumn="0" w:firstRowLastColumn="0" w:lastRowFirstColumn="0" w:lastRowLastColumn="0"/>
            </w:pPr>
            <w:r w:rsidRPr="00470588">
              <w:t>Cualitativa nominal dicotómica</w:t>
            </w:r>
          </w:p>
        </w:tc>
        <w:tc>
          <w:tcPr>
            <w:tcW w:w="2366" w:type="dxa"/>
            <w:shd w:val="clear" w:color="auto" w:fill="auto"/>
          </w:tcPr>
          <w:p w14:paraId="4DF03608" w14:textId="77777777" w:rsidR="00162AE1" w:rsidRPr="00470588" w:rsidRDefault="00162AE1" w:rsidP="00941475">
            <w:pPr>
              <w:cnfStyle w:val="000000000000" w:firstRow="0" w:lastRow="0" w:firstColumn="0" w:lastColumn="0" w:oddVBand="0" w:evenVBand="0" w:oddHBand="0" w:evenHBand="0" w:firstRowFirstColumn="0" w:firstRowLastColumn="0" w:lastRowFirstColumn="0" w:lastRowLastColumn="0"/>
            </w:pPr>
            <w:r w:rsidRPr="00470588">
              <w:t>Según genotipo sexual.</w:t>
            </w:r>
          </w:p>
        </w:tc>
        <w:tc>
          <w:tcPr>
            <w:tcW w:w="1889" w:type="dxa"/>
            <w:shd w:val="clear" w:color="auto" w:fill="auto"/>
          </w:tcPr>
          <w:p w14:paraId="1355ACD9" w14:textId="77777777" w:rsidR="00162AE1" w:rsidRPr="00470588" w:rsidRDefault="00162AE1" w:rsidP="00941475">
            <w:pPr>
              <w:cnfStyle w:val="000000000000" w:firstRow="0" w:lastRow="0" w:firstColumn="0" w:lastColumn="0" w:oddVBand="0" w:evenVBand="0" w:oddHBand="0" w:evenHBand="0" w:firstRowFirstColumn="0" w:firstRowLastColumn="0" w:lastRowFirstColumn="0" w:lastRowLastColumn="0"/>
            </w:pPr>
            <w:r w:rsidRPr="00470588">
              <w:t>-Masculino</w:t>
            </w:r>
          </w:p>
          <w:p w14:paraId="58D4AF70" w14:textId="77777777" w:rsidR="00162AE1" w:rsidRPr="00470588" w:rsidRDefault="00162AE1" w:rsidP="00941475">
            <w:pPr>
              <w:cnfStyle w:val="000000000000" w:firstRow="0" w:lastRow="0" w:firstColumn="0" w:lastColumn="0" w:oddVBand="0" w:evenVBand="0" w:oddHBand="0" w:evenHBand="0" w:firstRowFirstColumn="0" w:firstRowLastColumn="0" w:lastRowFirstColumn="0" w:lastRowLastColumn="0"/>
            </w:pPr>
            <w:r w:rsidRPr="00470588">
              <w:t>-Femenino</w:t>
            </w:r>
          </w:p>
        </w:tc>
        <w:tc>
          <w:tcPr>
            <w:tcW w:w="1943" w:type="dxa"/>
            <w:shd w:val="clear" w:color="auto" w:fill="auto"/>
          </w:tcPr>
          <w:p w14:paraId="725B34C6" w14:textId="3F97B016" w:rsidR="00162AE1" w:rsidRPr="00470588" w:rsidRDefault="00162AE1" w:rsidP="00941475">
            <w:pPr>
              <w:cnfStyle w:val="000000000000" w:firstRow="0" w:lastRow="0" w:firstColumn="0" w:lastColumn="0" w:oddVBand="0" w:evenVBand="0" w:oddHBand="0" w:evenHBand="0" w:firstRowFirstColumn="0" w:firstRowLastColumn="0" w:lastRowFirstColumn="0" w:lastRowLastColumn="0"/>
            </w:pPr>
            <w:r w:rsidRPr="00470588">
              <w:t xml:space="preserve">Frecuencia absoluta y relativa. Chi cuadrado o el test exacto de Fisher.  </w:t>
            </w:r>
          </w:p>
        </w:tc>
      </w:tr>
      <w:tr w:rsidR="00162AE1" w:rsidRPr="00470588" w14:paraId="4FDF5C59" w14:textId="77777777" w:rsidTr="008A44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39EF1BF7" w14:textId="66A84F93" w:rsidR="00162AE1" w:rsidRPr="00470588" w:rsidRDefault="00162AE1" w:rsidP="00941475">
            <w:pPr>
              <w:rPr>
                <w:rFonts w:eastAsia="Calibri"/>
              </w:rPr>
            </w:pPr>
            <w:r w:rsidRPr="00470588">
              <w:rPr>
                <w:rFonts w:eastAsia="Calibri"/>
              </w:rPr>
              <w:t>Hiperglucemia</w:t>
            </w:r>
          </w:p>
        </w:tc>
        <w:tc>
          <w:tcPr>
            <w:tcW w:w="1697" w:type="dxa"/>
            <w:shd w:val="clear" w:color="auto" w:fill="auto"/>
          </w:tcPr>
          <w:p w14:paraId="25109D36" w14:textId="77777777"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pPr>
            <w:r w:rsidRPr="00470588">
              <w:t>Cualitativa nominal dicotómica</w:t>
            </w:r>
          </w:p>
        </w:tc>
        <w:tc>
          <w:tcPr>
            <w:tcW w:w="2366" w:type="dxa"/>
            <w:shd w:val="clear" w:color="auto" w:fill="auto"/>
          </w:tcPr>
          <w:p w14:paraId="096BE93A" w14:textId="724ED583"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pPr>
            <w:r w:rsidRPr="00470588">
              <w:t xml:space="preserve">Se consideró </w:t>
            </w:r>
            <w:r w:rsidR="005E6477" w:rsidRPr="00470588">
              <w:t xml:space="preserve">si cifras de glucemia capilar en ayunas por encima de 11.1 </w:t>
            </w:r>
            <w:r w:rsidR="005E6477" w:rsidRPr="00470588">
              <w:lastRenderedPageBreak/>
              <w:t>mmol/l o 200mg/dl medidas por glucómetro SUMA</w:t>
            </w:r>
          </w:p>
        </w:tc>
        <w:tc>
          <w:tcPr>
            <w:tcW w:w="1889" w:type="dxa"/>
            <w:shd w:val="clear" w:color="auto" w:fill="auto"/>
          </w:tcPr>
          <w:p w14:paraId="0BDF09ED" w14:textId="4D3E4F62"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pPr>
            <w:r w:rsidRPr="00470588">
              <w:lastRenderedPageBreak/>
              <w:t>-</w:t>
            </w:r>
            <w:r w:rsidR="005E6477" w:rsidRPr="00470588">
              <w:t>Sí</w:t>
            </w:r>
          </w:p>
          <w:p w14:paraId="068C70E3" w14:textId="6A78352C"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pPr>
            <w:r w:rsidRPr="00470588">
              <w:t>-No</w:t>
            </w:r>
          </w:p>
        </w:tc>
        <w:tc>
          <w:tcPr>
            <w:tcW w:w="1943" w:type="dxa"/>
            <w:shd w:val="clear" w:color="auto" w:fill="auto"/>
          </w:tcPr>
          <w:p w14:paraId="54D37940" w14:textId="0182BD4C"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pPr>
            <w:r w:rsidRPr="00470588">
              <w:t xml:space="preserve">Frecuencia absoluta y relativa. Chi cuadrado o el </w:t>
            </w:r>
            <w:r w:rsidRPr="00470588">
              <w:lastRenderedPageBreak/>
              <w:t xml:space="preserve">test exacto de Fisher.  </w:t>
            </w:r>
          </w:p>
        </w:tc>
      </w:tr>
      <w:tr w:rsidR="00162AE1" w:rsidRPr="00470588" w14:paraId="3710D779" w14:textId="77777777" w:rsidTr="008A4432">
        <w:trPr>
          <w:jc w:val="center"/>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46E6A2D7" w14:textId="570428E9" w:rsidR="00162AE1" w:rsidRPr="00470588" w:rsidRDefault="005E6477" w:rsidP="00941475">
            <w:pPr>
              <w:rPr>
                <w:rFonts w:eastAsia="Calibri"/>
              </w:rPr>
            </w:pPr>
            <w:r w:rsidRPr="00470588">
              <w:rPr>
                <w:rFonts w:eastAsia="Calibri"/>
              </w:rPr>
              <w:lastRenderedPageBreak/>
              <w:t>Dislipidemia</w:t>
            </w:r>
          </w:p>
        </w:tc>
        <w:tc>
          <w:tcPr>
            <w:tcW w:w="1697" w:type="dxa"/>
            <w:shd w:val="clear" w:color="auto" w:fill="auto"/>
          </w:tcPr>
          <w:p w14:paraId="1901EA26" w14:textId="6EA8DF6D" w:rsidR="00162AE1" w:rsidRPr="00470588" w:rsidRDefault="00162AE1" w:rsidP="00941475">
            <w:pPr>
              <w:cnfStyle w:val="000000000000" w:firstRow="0" w:lastRow="0" w:firstColumn="0" w:lastColumn="0" w:oddVBand="0" w:evenVBand="0" w:oddHBand="0" w:evenHBand="0" w:firstRowFirstColumn="0" w:firstRowLastColumn="0" w:lastRowFirstColumn="0" w:lastRowLastColumn="0"/>
            </w:pPr>
            <w:r w:rsidRPr="00470588">
              <w:t xml:space="preserve">Cualitativa ordinal </w:t>
            </w:r>
            <w:r w:rsidR="005E6477" w:rsidRPr="00470588">
              <w:t>dicot</w:t>
            </w:r>
            <w:r w:rsidRPr="00470588">
              <w:t>ómica</w:t>
            </w:r>
          </w:p>
        </w:tc>
        <w:tc>
          <w:tcPr>
            <w:tcW w:w="2366" w:type="dxa"/>
            <w:shd w:val="clear" w:color="auto" w:fill="auto"/>
          </w:tcPr>
          <w:p w14:paraId="21D78B26" w14:textId="1DB1F92E" w:rsidR="00162AE1" w:rsidRPr="00470588" w:rsidRDefault="005E6477" w:rsidP="00941475">
            <w:pPr>
              <w:cnfStyle w:val="000000000000" w:firstRow="0" w:lastRow="0" w:firstColumn="0" w:lastColumn="0" w:oddVBand="0" w:evenVBand="0" w:oddHBand="0" w:evenHBand="0" w:firstRowFirstColumn="0" w:firstRowLastColumn="0" w:lastRowFirstColumn="0" w:lastRowLastColumn="0"/>
            </w:pPr>
            <w:r w:rsidRPr="00470588">
              <w:t>Elevación del colesterol y</w:t>
            </w:r>
            <w:r w:rsidR="007A0865" w:rsidRPr="00470588">
              <w:t>/o</w:t>
            </w:r>
            <w:r w:rsidRPr="00470588">
              <w:t xml:space="preserve"> los triglicéridos en sangre, </w:t>
            </w:r>
            <w:r w:rsidR="007A0865" w:rsidRPr="00470588">
              <w:t>superiores a:</w:t>
            </w:r>
          </w:p>
          <w:p w14:paraId="53397280" w14:textId="77777777" w:rsidR="00B57E50" w:rsidRPr="00470588" w:rsidRDefault="00B57E50" w:rsidP="00941475">
            <w:pPr>
              <w:cnfStyle w:val="000000000000" w:firstRow="0" w:lastRow="0" w:firstColumn="0" w:lastColumn="0" w:oddVBand="0" w:evenVBand="0" w:oddHBand="0" w:evenHBand="0" w:firstRowFirstColumn="0" w:firstRowLastColumn="0" w:lastRowFirstColumn="0" w:lastRowLastColumn="0"/>
            </w:pPr>
            <w:r w:rsidRPr="00470588">
              <w:t>Colesterol 5,6 mmol/L</w:t>
            </w:r>
          </w:p>
          <w:p w14:paraId="798077B0" w14:textId="67678694" w:rsidR="00B57E50" w:rsidRPr="00470588" w:rsidRDefault="00862729" w:rsidP="00941475">
            <w:pPr>
              <w:cnfStyle w:val="000000000000" w:firstRow="0" w:lastRow="0" w:firstColumn="0" w:lastColumn="0" w:oddVBand="0" w:evenVBand="0" w:oddHBand="0" w:evenHBand="0" w:firstRowFirstColumn="0" w:firstRowLastColumn="0" w:lastRowFirstColumn="0" w:lastRowLastColumn="0"/>
            </w:pPr>
            <w:r w:rsidRPr="00470588">
              <w:t>Triglicéridos</w:t>
            </w:r>
            <w:r w:rsidR="00B57E50" w:rsidRPr="00470588">
              <w:t xml:space="preserve"> 1,8 mmol/L</w:t>
            </w:r>
          </w:p>
        </w:tc>
        <w:tc>
          <w:tcPr>
            <w:tcW w:w="1889" w:type="dxa"/>
            <w:shd w:val="clear" w:color="auto" w:fill="auto"/>
          </w:tcPr>
          <w:p w14:paraId="757E89D1" w14:textId="77777777" w:rsidR="00162AE1" w:rsidRPr="00470588" w:rsidRDefault="00162AE1" w:rsidP="00B57E50">
            <w:pPr>
              <w:cnfStyle w:val="000000000000" w:firstRow="0" w:lastRow="0" w:firstColumn="0" w:lastColumn="0" w:oddVBand="0" w:evenVBand="0" w:oddHBand="0" w:evenHBand="0" w:firstRowFirstColumn="0" w:firstRowLastColumn="0" w:lastRowFirstColumn="0" w:lastRowLastColumn="0"/>
            </w:pPr>
            <w:r w:rsidRPr="00470588">
              <w:t>-</w:t>
            </w:r>
            <w:r w:rsidR="00B57E50" w:rsidRPr="00470588">
              <w:t>Sí</w:t>
            </w:r>
          </w:p>
          <w:p w14:paraId="6295402E" w14:textId="7EE63877" w:rsidR="00862729" w:rsidRPr="00470588" w:rsidRDefault="00862729" w:rsidP="00B57E50">
            <w:pPr>
              <w:cnfStyle w:val="000000000000" w:firstRow="0" w:lastRow="0" w:firstColumn="0" w:lastColumn="0" w:oddVBand="0" w:evenVBand="0" w:oddHBand="0" w:evenHBand="0" w:firstRowFirstColumn="0" w:firstRowLastColumn="0" w:lastRowFirstColumn="0" w:lastRowLastColumn="0"/>
            </w:pPr>
            <w:r w:rsidRPr="00470588">
              <w:t>-No</w:t>
            </w:r>
          </w:p>
        </w:tc>
        <w:tc>
          <w:tcPr>
            <w:tcW w:w="1943" w:type="dxa"/>
            <w:shd w:val="clear" w:color="auto" w:fill="auto"/>
          </w:tcPr>
          <w:p w14:paraId="12CBFF61" w14:textId="77777777" w:rsidR="00162AE1" w:rsidRPr="00470588" w:rsidRDefault="00162AE1" w:rsidP="00941475">
            <w:pPr>
              <w:cnfStyle w:val="000000000000" w:firstRow="0" w:lastRow="0" w:firstColumn="0" w:lastColumn="0" w:oddVBand="0" w:evenVBand="0" w:oddHBand="0" w:evenHBand="0" w:firstRowFirstColumn="0" w:firstRowLastColumn="0" w:lastRowFirstColumn="0" w:lastRowLastColumn="0"/>
            </w:pPr>
            <w:r w:rsidRPr="00470588">
              <w:t>Frecuencia absoluta y relativa. Chi cuadrado o el test exacto de Fisher.</w:t>
            </w:r>
          </w:p>
        </w:tc>
      </w:tr>
      <w:tr w:rsidR="00162AE1" w:rsidRPr="00470588" w14:paraId="7D1FC142" w14:textId="77777777" w:rsidTr="008A44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1C270F61" w14:textId="6A9E5857" w:rsidR="00162AE1" w:rsidRPr="00470588" w:rsidRDefault="00862729" w:rsidP="00941475">
            <w:pPr>
              <w:rPr>
                <w:rFonts w:eastAsia="Calibri"/>
              </w:rPr>
            </w:pPr>
            <w:r w:rsidRPr="00470588">
              <w:t>HTA</w:t>
            </w:r>
          </w:p>
        </w:tc>
        <w:tc>
          <w:tcPr>
            <w:tcW w:w="1697" w:type="dxa"/>
            <w:shd w:val="clear" w:color="auto" w:fill="auto"/>
          </w:tcPr>
          <w:p w14:paraId="2185CE96" w14:textId="77777777"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pPr>
            <w:r w:rsidRPr="00470588">
              <w:t>Cualitativa nominal dicotómica</w:t>
            </w:r>
          </w:p>
        </w:tc>
        <w:tc>
          <w:tcPr>
            <w:tcW w:w="2366" w:type="dxa"/>
            <w:shd w:val="clear" w:color="auto" w:fill="auto"/>
          </w:tcPr>
          <w:p w14:paraId="25531BDF" w14:textId="0BDD08C3" w:rsidR="00162AE1" w:rsidRPr="00470588" w:rsidRDefault="00862729" w:rsidP="00941475">
            <w:pPr>
              <w:cnfStyle w:val="000000100000" w:firstRow="0" w:lastRow="0" w:firstColumn="0" w:lastColumn="0" w:oddVBand="0" w:evenVBand="0" w:oddHBand="1" w:evenHBand="0" w:firstRowFirstColumn="0" w:firstRowLastColumn="0" w:lastRowFirstColumn="0" w:lastRowLastColumn="0"/>
            </w:pPr>
            <w:r w:rsidRPr="00470588">
              <w:t>Pacientes con antecedentes de HTA o que en el momento del examen físico presenten cifras de TA mayores a 140/90 mmHg</w:t>
            </w:r>
          </w:p>
        </w:tc>
        <w:tc>
          <w:tcPr>
            <w:tcW w:w="1889" w:type="dxa"/>
            <w:shd w:val="clear" w:color="auto" w:fill="auto"/>
          </w:tcPr>
          <w:p w14:paraId="00610984" w14:textId="51CE5CE9"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pPr>
            <w:r w:rsidRPr="00470588">
              <w:t>-</w:t>
            </w:r>
            <w:r w:rsidR="00862729" w:rsidRPr="00470588">
              <w:t>Sí</w:t>
            </w:r>
          </w:p>
          <w:p w14:paraId="25B6B5B7" w14:textId="49625C61"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pPr>
            <w:r w:rsidRPr="00470588">
              <w:t>-</w:t>
            </w:r>
            <w:r w:rsidR="00862729" w:rsidRPr="00470588">
              <w:t>No</w:t>
            </w:r>
          </w:p>
        </w:tc>
        <w:tc>
          <w:tcPr>
            <w:tcW w:w="1943" w:type="dxa"/>
            <w:shd w:val="clear" w:color="auto" w:fill="auto"/>
          </w:tcPr>
          <w:p w14:paraId="6D660020" w14:textId="16F132A9"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pPr>
            <w:r w:rsidRPr="00470588">
              <w:t xml:space="preserve">Frecuencia absoluta y relativa. Chi cuadrado o el test exacto de Fisher.  </w:t>
            </w:r>
          </w:p>
        </w:tc>
      </w:tr>
      <w:tr w:rsidR="00530BF6" w:rsidRPr="00470588" w14:paraId="70777764" w14:textId="77777777" w:rsidTr="008A4432">
        <w:trPr>
          <w:jc w:val="center"/>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4FE30D3C" w14:textId="2421219F" w:rsidR="00530BF6" w:rsidRPr="00470588" w:rsidRDefault="00530BF6" w:rsidP="00941475">
            <w:pPr>
              <w:rPr>
                <w:bCs w:val="0"/>
              </w:rPr>
            </w:pPr>
            <w:r w:rsidRPr="00470588">
              <w:rPr>
                <w:bCs w:val="0"/>
              </w:rPr>
              <w:t>Tabaquismo</w:t>
            </w:r>
          </w:p>
        </w:tc>
        <w:tc>
          <w:tcPr>
            <w:tcW w:w="1697" w:type="dxa"/>
            <w:shd w:val="clear" w:color="auto" w:fill="auto"/>
          </w:tcPr>
          <w:p w14:paraId="547F9D26" w14:textId="3DD228C3" w:rsidR="00530BF6" w:rsidRPr="00470588" w:rsidRDefault="00530BF6" w:rsidP="00941475">
            <w:pPr>
              <w:cnfStyle w:val="000000000000" w:firstRow="0" w:lastRow="0" w:firstColumn="0" w:lastColumn="0" w:oddVBand="0" w:evenVBand="0" w:oddHBand="0" w:evenHBand="0" w:firstRowFirstColumn="0" w:firstRowLastColumn="0" w:lastRowFirstColumn="0" w:lastRowLastColumn="0"/>
            </w:pPr>
            <w:r w:rsidRPr="00470588">
              <w:t>Cualitativa nominal dicotómica</w:t>
            </w:r>
          </w:p>
        </w:tc>
        <w:tc>
          <w:tcPr>
            <w:tcW w:w="2366" w:type="dxa"/>
            <w:shd w:val="clear" w:color="auto" w:fill="auto"/>
          </w:tcPr>
          <w:p w14:paraId="3EBC994A" w14:textId="247BF36D" w:rsidR="00530BF6" w:rsidRPr="00470588" w:rsidRDefault="00530BF6" w:rsidP="00941475">
            <w:pPr>
              <w:cnfStyle w:val="000000000000" w:firstRow="0" w:lastRow="0" w:firstColumn="0" w:lastColumn="0" w:oddVBand="0" w:evenVBand="0" w:oddHBand="0" w:evenHBand="0" w:firstRowFirstColumn="0" w:firstRowLastColumn="0" w:lastRowFirstColumn="0" w:lastRowLastColumn="0"/>
            </w:pPr>
            <w:r w:rsidRPr="00470588">
              <w:t>Según si el paciente es o no fumador en la actualidad</w:t>
            </w:r>
            <w:r w:rsidR="00387D74" w:rsidRPr="00470588">
              <w:t>. Los pacientes con abandono del hábito menor de 12 meses se considerarán fumadores actuales.</w:t>
            </w:r>
          </w:p>
        </w:tc>
        <w:tc>
          <w:tcPr>
            <w:tcW w:w="1889" w:type="dxa"/>
            <w:shd w:val="clear" w:color="auto" w:fill="auto"/>
          </w:tcPr>
          <w:p w14:paraId="5F5595ED" w14:textId="77777777" w:rsidR="00530BF6" w:rsidRPr="00470588" w:rsidRDefault="00530BF6" w:rsidP="00530BF6">
            <w:pPr>
              <w:cnfStyle w:val="000000000000" w:firstRow="0" w:lastRow="0" w:firstColumn="0" w:lastColumn="0" w:oddVBand="0" w:evenVBand="0" w:oddHBand="0" w:evenHBand="0" w:firstRowFirstColumn="0" w:firstRowLastColumn="0" w:lastRowFirstColumn="0" w:lastRowLastColumn="0"/>
            </w:pPr>
            <w:r w:rsidRPr="00470588">
              <w:t>-Sí</w:t>
            </w:r>
          </w:p>
          <w:p w14:paraId="64518798" w14:textId="71659E07" w:rsidR="00530BF6" w:rsidRPr="00470588" w:rsidRDefault="00530BF6" w:rsidP="00530BF6">
            <w:pPr>
              <w:cnfStyle w:val="000000000000" w:firstRow="0" w:lastRow="0" w:firstColumn="0" w:lastColumn="0" w:oddVBand="0" w:evenVBand="0" w:oddHBand="0" w:evenHBand="0" w:firstRowFirstColumn="0" w:firstRowLastColumn="0" w:lastRowFirstColumn="0" w:lastRowLastColumn="0"/>
            </w:pPr>
            <w:r w:rsidRPr="00470588">
              <w:t>-No</w:t>
            </w:r>
          </w:p>
        </w:tc>
        <w:tc>
          <w:tcPr>
            <w:tcW w:w="1943" w:type="dxa"/>
            <w:shd w:val="clear" w:color="auto" w:fill="auto"/>
          </w:tcPr>
          <w:p w14:paraId="26CBB8A6" w14:textId="7D956CCF" w:rsidR="00530BF6" w:rsidRPr="00470588" w:rsidRDefault="00530BF6" w:rsidP="00941475">
            <w:pPr>
              <w:cnfStyle w:val="000000000000" w:firstRow="0" w:lastRow="0" w:firstColumn="0" w:lastColumn="0" w:oddVBand="0" w:evenVBand="0" w:oddHBand="0" w:evenHBand="0" w:firstRowFirstColumn="0" w:firstRowLastColumn="0" w:lastRowFirstColumn="0" w:lastRowLastColumn="0"/>
            </w:pPr>
            <w:r w:rsidRPr="00470588">
              <w:t xml:space="preserve">Frecuencia absoluta y relativa. Chi cuadrado o el test exacto de Fisher.  </w:t>
            </w:r>
          </w:p>
        </w:tc>
      </w:tr>
      <w:tr w:rsidR="00162AE1" w:rsidRPr="00470588" w14:paraId="21C25D43" w14:textId="77777777" w:rsidTr="008A44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46460812" w14:textId="39E0888B" w:rsidR="00162AE1" w:rsidRPr="00470588" w:rsidRDefault="00036D6A" w:rsidP="00941475">
            <w:pPr>
              <w:rPr>
                <w:rFonts w:eastAsia="Calibri"/>
              </w:rPr>
            </w:pPr>
            <w:r w:rsidRPr="00470588">
              <w:t>Obesidad</w:t>
            </w:r>
          </w:p>
        </w:tc>
        <w:tc>
          <w:tcPr>
            <w:tcW w:w="1697" w:type="dxa"/>
            <w:shd w:val="clear" w:color="auto" w:fill="auto"/>
          </w:tcPr>
          <w:p w14:paraId="07B08790" w14:textId="77777777"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pPr>
            <w:r w:rsidRPr="00470588">
              <w:t>Cualitativa nominal dicotómica</w:t>
            </w:r>
          </w:p>
        </w:tc>
        <w:tc>
          <w:tcPr>
            <w:tcW w:w="2366" w:type="dxa"/>
            <w:shd w:val="clear" w:color="auto" w:fill="auto"/>
          </w:tcPr>
          <w:p w14:paraId="1A4D5DCE" w14:textId="53972A2A" w:rsidR="00162AE1" w:rsidRPr="00470588" w:rsidRDefault="00DE4189" w:rsidP="00941475">
            <w:pPr>
              <w:cnfStyle w:val="000000100000" w:firstRow="0" w:lastRow="0" w:firstColumn="0" w:lastColumn="0" w:oddVBand="0" w:evenVBand="0" w:oddHBand="1" w:evenHBand="0" w:firstRowFirstColumn="0" w:firstRowLastColumn="0" w:lastRowFirstColumn="0" w:lastRowLastColumn="0"/>
            </w:pPr>
            <w:r w:rsidRPr="00470588">
              <w:t>Índice de masa corporal mayor a 30kg/m</w:t>
            </w:r>
            <w:r w:rsidRPr="00470588">
              <w:rPr>
                <w:vertAlign w:val="superscript"/>
              </w:rPr>
              <w:t xml:space="preserve">2 </w:t>
            </w:r>
            <w:r w:rsidRPr="00470588">
              <w:t>calculado dividiendo el peso en Kg sobre la estatura en m</w:t>
            </w:r>
            <w:r w:rsidRPr="00470588">
              <w:rPr>
                <w:vertAlign w:val="superscript"/>
              </w:rPr>
              <w:t>2</w:t>
            </w:r>
          </w:p>
        </w:tc>
        <w:tc>
          <w:tcPr>
            <w:tcW w:w="1889" w:type="dxa"/>
            <w:shd w:val="clear" w:color="auto" w:fill="auto"/>
          </w:tcPr>
          <w:p w14:paraId="758E37D8" w14:textId="77777777" w:rsidR="00162AE1" w:rsidRPr="00470588" w:rsidRDefault="00162AE1" w:rsidP="00DE4189">
            <w:pPr>
              <w:cnfStyle w:val="000000100000" w:firstRow="0" w:lastRow="0" w:firstColumn="0" w:lastColumn="0" w:oddVBand="0" w:evenVBand="0" w:oddHBand="1" w:evenHBand="0" w:firstRowFirstColumn="0" w:firstRowLastColumn="0" w:lastRowFirstColumn="0" w:lastRowLastColumn="0"/>
            </w:pPr>
            <w:r w:rsidRPr="00470588">
              <w:t>-</w:t>
            </w:r>
            <w:r w:rsidR="00DE4189" w:rsidRPr="00470588">
              <w:t>Sí</w:t>
            </w:r>
          </w:p>
          <w:p w14:paraId="5BADB75A" w14:textId="5615B360" w:rsidR="00DE4189" w:rsidRPr="00470588" w:rsidRDefault="00DE4189" w:rsidP="00DE4189">
            <w:pPr>
              <w:cnfStyle w:val="000000100000" w:firstRow="0" w:lastRow="0" w:firstColumn="0" w:lastColumn="0" w:oddVBand="0" w:evenVBand="0" w:oddHBand="1" w:evenHBand="0" w:firstRowFirstColumn="0" w:firstRowLastColumn="0" w:lastRowFirstColumn="0" w:lastRowLastColumn="0"/>
            </w:pPr>
            <w:r w:rsidRPr="00470588">
              <w:t>-No</w:t>
            </w:r>
          </w:p>
        </w:tc>
        <w:tc>
          <w:tcPr>
            <w:tcW w:w="1943" w:type="dxa"/>
            <w:shd w:val="clear" w:color="auto" w:fill="auto"/>
          </w:tcPr>
          <w:p w14:paraId="325FD6DB" w14:textId="77777777"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pPr>
            <w:r w:rsidRPr="00470588">
              <w:t>Frecuencia absoluta y relativa. Chi cuadrado o el test exacto de Fisher.</w:t>
            </w:r>
          </w:p>
        </w:tc>
      </w:tr>
      <w:tr w:rsidR="00162AE1" w:rsidRPr="00470588" w14:paraId="42A95C0A" w14:textId="77777777" w:rsidTr="008A4432">
        <w:trPr>
          <w:jc w:val="center"/>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388094AE" w14:textId="771AF4A9" w:rsidR="00162AE1" w:rsidRPr="00470588" w:rsidRDefault="00B20F6A" w:rsidP="00941475">
            <w:pPr>
              <w:rPr>
                <w:rFonts w:eastAsia="Calibri"/>
              </w:rPr>
            </w:pPr>
            <w:r w:rsidRPr="00470588">
              <w:rPr>
                <w:rFonts w:eastAsia="Calibri"/>
              </w:rPr>
              <w:t>EAP</w:t>
            </w:r>
          </w:p>
        </w:tc>
        <w:tc>
          <w:tcPr>
            <w:tcW w:w="1697" w:type="dxa"/>
            <w:shd w:val="clear" w:color="auto" w:fill="auto"/>
          </w:tcPr>
          <w:p w14:paraId="37D499AC" w14:textId="77777777" w:rsidR="00162AE1" w:rsidRPr="00470588" w:rsidRDefault="00162AE1" w:rsidP="00941475">
            <w:pPr>
              <w:cnfStyle w:val="000000000000" w:firstRow="0" w:lastRow="0" w:firstColumn="0" w:lastColumn="0" w:oddVBand="0" w:evenVBand="0" w:oddHBand="0" w:evenHBand="0" w:firstRowFirstColumn="0" w:firstRowLastColumn="0" w:lastRowFirstColumn="0" w:lastRowLastColumn="0"/>
            </w:pPr>
            <w:r w:rsidRPr="00470588">
              <w:t>Cualitativa</w:t>
            </w:r>
          </w:p>
          <w:p w14:paraId="721839BE" w14:textId="77777777" w:rsidR="00162AE1" w:rsidRPr="00470588" w:rsidRDefault="00162AE1" w:rsidP="00941475">
            <w:pPr>
              <w:cnfStyle w:val="000000000000" w:firstRow="0" w:lastRow="0" w:firstColumn="0" w:lastColumn="0" w:oddVBand="0" w:evenVBand="0" w:oddHBand="0" w:evenHBand="0" w:firstRowFirstColumn="0" w:firstRowLastColumn="0" w:lastRowFirstColumn="0" w:lastRowLastColumn="0"/>
            </w:pPr>
            <w:r w:rsidRPr="00470588">
              <w:t>nominal</w:t>
            </w:r>
          </w:p>
          <w:p w14:paraId="266C1B32" w14:textId="5F6B019B" w:rsidR="00162AE1" w:rsidRPr="00470588" w:rsidRDefault="008A4432" w:rsidP="00941475">
            <w:pPr>
              <w:cnfStyle w:val="000000000000" w:firstRow="0" w:lastRow="0" w:firstColumn="0" w:lastColumn="0" w:oddVBand="0" w:evenVBand="0" w:oddHBand="0" w:evenHBand="0" w:firstRowFirstColumn="0" w:firstRowLastColumn="0" w:lastRowFirstColumn="0" w:lastRowLastColumn="0"/>
            </w:pPr>
            <w:r w:rsidRPr="00470588">
              <w:t>dicot</w:t>
            </w:r>
            <w:r w:rsidR="00162AE1" w:rsidRPr="00470588">
              <w:t>ómica</w:t>
            </w:r>
          </w:p>
          <w:p w14:paraId="1C5C19AB" w14:textId="77777777" w:rsidR="00162AE1" w:rsidRPr="00470588" w:rsidRDefault="00162AE1" w:rsidP="00941475">
            <w:pPr>
              <w:cnfStyle w:val="000000000000" w:firstRow="0" w:lastRow="0" w:firstColumn="0" w:lastColumn="0" w:oddVBand="0" w:evenVBand="0" w:oddHBand="0" w:evenHBand="0" w:firstRowFirstColumn="0" w:firstRowLastColumn="0" w:lastRowFirstColumn="0" w:lastRowLastColumn="0"/>
            </w:pPr>
          </w:p>
        </w:tc>
        <w:tc>
          <w:tcPr>
            <w:tcW w:w="2366" w:type="dxa"/>
            <w:shd w:val="clear" w:color="auto" w:fill="auto"/>
          </w:tcPr>
          <w:p w14:paraId="14517A0F" w14:textId="61DEC0A9" w:rsidR="00162AE1" w:rsidRPr="00470588" w:rsidRDefault="00B20F6A" w:rsidP="00941475">
            <w:pPr>
              <w:cnfStyle w:val="000000000000" w:firstRow="0" w:lastRow="0" w:firstColumn="0" w:lastColumn="0" w:oddVBand="0" w:evenVBand="0" w:oddHBand="0" w:evenHBand="0" w:firstRowFirstColumn="0" w:firstRowLastColumn="0" w:lastRowFirstColumn="0" w:lastRowLastColumn="0"/>
            </w:pPr>
            <w:r w:rsidRPr="00470588">
              <w:t xml:space="preserve">Se diagnostica ante la ausencia </w:t>
            </w:r>
            <w:r w:rsidR="003330C7" w:rsidRPr="00470588">
              <w:t xml:space="preserve">al examen físico </w:t>
            </w:r>
            <w:r w:rsidRPr="00470588">
              <w:t>de algunos de los pulsos periféricos en las extremidades inferiores.</w:t>
            </w:r>
          </w:p>
        </w:tc>
        <w:tc>
          <w:tcPr>
            <w:tcW w:w="1889" w:type="dxa"/>
            <w:shd w:val="clear" w:color="auto" w:fill="auto"/>
          </w:tcPr>
          <w:p w14:paraId="3F0EE518" w14:textId="77777777" w:rsidR="00162AE1" w:rsidRPr="00470588" w:rsidRDefault="00162AE1" w:rsidP="003330C7">
            <w:pPr>
              <w:cnfStyle w:val="000000000000" w:firstRow="0" w:lastRow="0" w:firstColumn="0" w:lastColumn="0" w:oddVBand="0" w:evenVBand="0" w:oddHBand="0" w:evenHBand="0" w:firstRowFirstColumn="0" w:firstRowLastColumn="0" w:lastRowFirstColumn="0" w:lastRowLastColumn="0"/>
            </w:pPr>
            <w:r w:rsidRPr="00470588">
              <w:t>-</w:t>
            </w:r>
            <w:r w:rsidR="003330C7" w:rsidRPr="00470588">
              <w:t>SÍ</w:t>
            </w:r>
          </w:p>
          <w:p w14:paraId="4B9B0BD9" w14:textId="5E6D3891" w:rsidR="003330C7" w:rsidRPr="00470588" w:rsidRDefault="003330C7" w:rsidP="003330C7">
            <w:pPr>
              <w:cnfStyle w:val="000000000000" w:firstRow="0" w:lastRow="0" w:firstColumn="0" w:lastColumn="0" w:oddVBand="0" w:evenVBand="0" w:oddHBand="0" w:evenHBand="0" w:firstRowFirstColumn="0" w:firstRowLastColumn="0" w:lastRowFirstColumn="0" w:lastRowLastColumn="0"/>
            </w:pPr>
            <w:r w:rsidRPr="00470588">
              <w:t>-No</w:t>
            </w:r>
          </w:p>
        </w:tc>
        <w:tc>
          <w:tcPr>
            <w:tcW w:w="1943" w:type="dxa"/>
            <w:shd w:val="clear" w:color="auto" w:fill="auto"/>
          </w:tcPr>
          <w:p w14:paraId="1622732E" w14:textId="71013451" w:rsidR="00162AE1" w:rsidRPr="00470588" w:rsidRDefault="00162AE1" w:rsidP="00941475">
            <w:pPr>
              <w:cnfStyle w:val="000000000000" w:firstRow="0" w:lastRow="0" w:firstColumn="0" w:lastColumn="0" w:oddVBand="0" w:evenVBand="0" w:oddHBand="0" w:evenHBand="0" w:firstRowFirstColumn="0" w:firstRowLastColumn="0" w:lastRowFirstColumn="0" w:lastRowLastColumn="0"/>
            </w:pPr>
            <w:r w:rsidRPr="00470588">
              <w:t xml:space="preserve">Frecuencia absoluta y relativa. Chi cuadrado o el test exacto de Fisher.  </w:t>
            </w:r>
          </w:p>
        </w:tc>
      </w:tr>
      <w:tr w:rsidR="00162AE1" w:rsidRPr="00470588" w14:paraId="51891DA6" w14:textId="77777777" w:rsidTr="008A44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763CCB8A" w14:textId="55E8D928" w:rsidR="00162AE1" w:rsidRPr="00470588" w:rsidRDefault="00162AE1" w:rsidP="00941475">
            <w:pPr>
              <w:rPr>
                <w:rFonts w:eastAsia="Calibri"/>
              </w:rPr>
            </w:pPr>
            <w:r w:rsidRPr="00470588">
              <w:rPr>
                <w:rFonts w:eastAsia="Calibri"/>
              </w:rPr>
              <w:t>T</w:t>
            </w:r>
            <w:r w:rsidR="008A4432" w:rsidRPr="00470588">
              <w:rPr>
                <w:rFonts w:eastAsia="Calibri"/>
              </w:rPr>
              <w:t>ipo de DM</w:t>
            </w:r>
          </w:p>
        </w:tc>
        <w:tc>
          <w:tcPr>
            <w:tcW w:w="1697" w:type="dxa"/>
            <w:shd w:val="clear" w:color="auto" w:fill="auto"/>
          </w:tcPr>
          <w:p w14:paraId="6D4994D5" w14:textId="77777777" w:rsidR="008A4432" w:rsidRPr="00470588" w:rsidRDefault="008A4432" w:rsidP="008A4432">
            <w:pPr>
              <w:cnfStyle w:val="000000100000" w:firstRow="0" w:lastRow="0" w:firstColumn="0" w:lastColumn="0" w:oddVBand="0" w:evenVBand="0" w:oddHBand="1" w:evenHBand="0" w:firstRowFirstColumn="0" w:firstRowLastColumn="0" w:lastRowFirstColumn="0" w:lastRowLastColumn="0"/>
              <w:rPr>
                <w:rFonts w:eastAsia="Calibri"/>
              </w:rPr>
            </w:pPr>
            <w:r w:rsidRPr="00470588">
              <w:rPr>
                <w:rFonts w:eastAsia="Calibri"/>
              </w:rPr>
              <w:t>Cualitativa</w:t>
            </w:r>
          </w:p>
          <w:p w14:paraId="3ADF986E" w14:textId="77777777" w:rsidR="008A4432" w:rsidRPr="00470588" w:rsidRDefault="008A4432" w:rsidP="008A4432">
            <w:pPr>
              <w:cnfStyle w:val="000000100000" w:firstRow="0" w:lastRow="0" w:firstColumn="0" w:lastColumn="0" w:oddVBand="0" w:evenVBand="0" w:oddHBand="1" w:evenHBand="0" w:firstRowFirstColumn="0" w:firstRowLastColumn="0" w:lastRowFirstColumn="0" w:lastRowLastColumn="0"/>
              <w:rPr>
                <w:rFonts w:eastAsia="Calibri"/>
              </w:rPr>
            </w:pPr>
            <w:r w:rsidRPr="00470588">
              <w:rPr>
                <w:rFonts w:eastAsia="Calibri"/>
              </w:rPr>
              <w:t>nominal</w:t>
            </w:r>
          </w:p>
          <w:p w14:paraId="15595A28" w14:textId="2EE780EA" w:rsidR="00162AE1" w:rsidRPr="00470588" w:rsidRDefault="008A4432" w:rsidP="008A4432">
            <w:pPr>
              <w:cnfStyle w:val="000000100000" w:firstRow="0" w:lastRow="0" w:firstColumn="0" w:lastColumn="0" w:oddVBand="0" w:evenVBand="0" w:oddHBand="1" w:evenHBand="0" w:firstRowFirstColumn="0" w:firstRowLastColumn="0" w:lastRowFirstColumn="0" w:lastRowLastColumn="0"/>
            </w:pPr>
            <w:r w:rsidRPr="00470588">
              <w:rPr>
                <w:rFonts w:eastAsia="Calibri"/>
              </w:rPr>
              <w:t>dicotómica</w:t>
            </w:r>
          </w:p>
        </w:tc>
        <w:tc>
          <w:tcPr>
            <w:tcW w:w="2366" w:type="dxa"/>
            <w:shd w:val="clear" w:color="auto" w:fill="auto"/>
          </w:tcPr>
          <w:p w14:paraId="1FE46F19" w14:textId="1CEF79C2"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pPr>
            <w:r w:rsidRPr="00470588">
              <w:t>Según los</w:t>
            </w:r>
            <w:r w:rsidR="008A4432" w:rsidRPr="00470588">
              <w:t xml:space="preserve"> antecedentes referidos del tipo de diagnóstico de DM </w:t>
            </w:r>
          </w:p>
        </w:tc>
        <w:tc>
          <w:tcPr>
            <w:tcW w:w="1889" w:type="dxa"/>
            <w:shd w:val="clear" w:color="auto" w:fill="auto"/>
          </w:tcPr>
          <w:p w14:paraId="75EBD5D9" w14:textId="77777777"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pPr>
            <w:r w:rsidRPr="00470588">
              <w:t>-</w:t>
            </w:r>
            <w:r w:rsidR="008A4432" w:rsidRPr="00470588">
              <w:t>Tipo I</w:t>
            </w:r>
          </w:p>
          <w:p w14:paraId="1986DF43" w14:textId="6D3765F9" w:rsidR="008A4432" w:rsidRPr="00470588" w:rsidRDefault="008A4432" w:rsidP="00941475">
            <w:pPr>
              <w:cnfStyle w:val="000000100000" w:firstRow="0" w:lastRow="0" w:firstColumn="0" w:lastColumn="0" w:oddVBand="0" w:evenVBand="0" w:oddHBand="1" w:evenHBand="0" w:firstRowFirstColumn="0" w:firstRowLastColumn="0" w:lastRowFirstColumn="0" w:lastRowLastColumn="0"/>
            </w:pPr>
            <w:r w:rsidRPr="00470588">
              <w:t>-Tipo 2</w:t>
            </w:r>
          </w:p>
        </w:tc>
        <w:tc>
          <w:tcPr>
            <w:tcW w:w="1943" w:type="dxa"/>
            <w:shd w:val="clear" w:color="auto" w:fill="auto"/>
          </w:tcPr>
          <w:p w14:paraId="662FC443" w14:textId="6AC1D9DE" w:rsidR="00162AE1" w:rsidRPr="00470588" w:rsidRDefault="008A4432" w:rsidP="00941475">
            <w:pPr>
              <w:cnfStyle w:val="000000100000" w:firstRow="0" w:lastRow="0" w:firstColumn="0" w:lastColumn="0" w:oddVBand="0" w:evenVBand="0" w:oddHBand="1" w:evenHBand="0" w:firstRowFirstColumn="0" w:firstRowLastColumn="0" w:lastRowFirstColumn="0" w:lastRowLastColumn="0"/>
            </w:pPr>
            <w:r w:rsidRPr="00470588">
              <w:t xml:space="preserve">Frecuencia absoluta y relativa. Chi cuadrado o el test exacto de Fisher.  </w:t>
            </w:r>
          </w:p>
        </w:tc>
      </w:tr>
      <w:tr w:rsidR="00162AE1" w:rsidRPr="00470588" w14:paraId="3869FAC5" w14:textId="77777777" w:rsidTr="008A4432">
        <w:trPr>
          <w:jc w:val="center"/>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144344F2" w14:textId="05691E43" w:rsidR="00162AE1" w:rsidRPr="00470588" w:rsidRDefault="008A4432" w:rsidP="00941475">
            <w:pPr>
              <w:rPr>
                <w:rFonts w:eastAsia="Calibri"/>
              </w:rPr>
            </w:pPr>
            <w:r w:rsidRPr="00470588">
              <w:rPr>
                <w:rFonts w:eastAsia="Calibri"/>
              </w:rPr>
              <w:t>Tiempo de evolución de la DM</w:t>
            </w:r>
          </w:p>
        </w:tc>
        <w:tc>
          <w:tcPr>
            <w:tcW w:w="1697" w:type="dxa"/>
            <w:shd w:val="clear" w:color="auto" w:fill="auto"/>
          </w:tcPr>
          <w:p w14:paraId="73B8B102" w14:textId="77777777" w:rsidR="00162AE1" w:rsidRPr="00470588" w:rsidRDefault="00162AE1" w:rsidP="00941475">
            <w:pPr>
              <w:cnfStyle w:val="000000000000" w:firstRow="0" w:lastRow="0" w:firstColumn="0" w:lastColumn="0" w:oddVBand="0" w:evenVBand="0" w:oddHBand="0" w:evenHBand="0" w:firstRowFirstColumn="0" w:firstRowLastColumn="0" w:lastRowFirstColumn="0" w:lastRowLastColumn="0"/>
              <w:rPr>
                <w:rFonts w:eastAsia="Calibri"/>
              </w:rPr>
            </w:pPr>
            <w:r w:rsidRPr="00470588">
              <w:rPr>
                <w:rFonts w:eastAsia="Calibri"/>
              </w:rPr>
              <w:t xml:space="preserve">Cuantitativa </w:t>
            </w:r>
          </w:p>
          <w:p w14:paraId="0F6B834E" w14:textId="77777777" w:rsidR="00162AE1" w:rsidRPr="00470588" w:rsidRDefault="00162AE1" w:rsidP="00941475">
            <w:pPr>
              <w:cnfStyle w:val="000000000000" w:firstRow="0" w:lastRow="0" w:firstColumn="0" w:lastColumn="0" w:oddVBand="0" w:evenVBand="0" w:oddHBand="0" w:evenHBand="0" w:firstRowFirstColumn="0" w:firstRowLastColumn="0" w:lastRowFirstColumn="0" w:lastRowLastColumn="0"/>
              <w:rPr>
                <w:rFonts w:eastAsia="Calibri"/>
              </w:rPr>
            </w:pPr>
            <w:r w:rsidRPr="00470588">
              <w:rPr>
                <w:rFonts w:eastAsia="Calibri"/>
              </w:rPr>
              <w:t>continua</w:t>
            </w:r>
          </w:p>
        </w:tc>
        <w:tc>
          <w:tcPr>
            <w:tcW w:w="2366" w:type="dxa"/>
            <w:shd w:val="clear" w:color="auto" w:fill="auto"/>
          </w:tcPr>
          <w:p w14:paraId="2A98F844" w14:textId="500287D2" w:rsidR="00162AE1" w:rsidRPr="00470588" w:rsidRDefault="00162AE1" w:rsidP="00941475">
            <w:pPr>
              <w:cnfStyle w:val="000000000000" w:firstRow="0" w:lastRow="0" w:firstColumn="0" w:lastColumn="0" w:oddVBand="0" w:evenVBand="0" w:oddHBand="0" w:evenHBand="0" w:firstRowFirstColumn="0" w:firstRowLastColumn="0" w:lastRowFirstColumn="0" w:lastRowLastColumn="0"/>
            </w:pPr>
            <w:r w:rsidRPr="00470588">
              <w:t xml:space="preserve">Según </w:t>
            </w:r>
            <w:r w:rsidR="008A4432" w:rsidRPr="00470588">
              <w:t xml:space="preserve">el tiempo en años transcurrido entre el diagnóstico </w:t>
            </w:r>
            <w:r w:rsidR="008A4432" w:rsidRPr="00470588">
              <w:lastRenderedPageBreak/>
              <w:t>de la DM hasta el momento de realizado el estudio.</w:t>
            </w:r>
          </w:p>
        </w:tc>
        <w:tc>
          <w:tcPr>
            <w:tcW w:w="1889" w:type="dxa"/>
            <w:shd w:val="clear" w:color="auto" w:fill="auto"/>
          </w:tcPr>
          <w:p w14:paraId="497913A2" w14:textId="77777777" w:rsidR="00162AE1" w:rsidRPr="00470588" w:rsidRDefault="00162AE1" w:rsidP="00941475">
            <w:pPr>
              <w:cnfStyle w:val="000000000000" w:firstRow="0" w:lastRow="0" w:firstColumn="0" w:lastColumn="0" w:oddVBand="0" w:evenVBand="0" w:oddHBand="0" w:evenHBand="0" w:firstRowFirstColumn="0" w:firstRowLastColumn="0" w:lastRowFirstColumn="0" w:lastRowLastColumn="0"/>
            </w:pPr>
            <w:r w:rsidRPr="00470588">
              <w:lastRenderedPageBreak/>
              <w:t>-</w:t>
            </w:r>
          </w:p>
        </w:tc>
        <w:tc>
          <w:tcPr>
            <w:tcW w:w="1943" w:type="dxa"/>
            <w:shd w:val="clear" w:color="auto" w:fill="auto"/>
          </w:tcPr>
          <w:p w14:paraId="44F2F9E7" w14:textId="77777777" w:rsidR="00162AE1" w:rsidRPr="00470588" w:rsidRDefault="00162AE1" w:rsidP="00941475">
            <w:pPr>
              <w:cnfStyle w:val="000000000000" w:firstRow="0" w:lastRow="0" w:firstColumn="0" w:lastColumn="0" w:oddVBand="0" w:evenVBand="0" w:oddHBand="0" w:evenHBand="0" w:firstRowFirstColumn="0" w:firstRowLastColumn="0" w:lastRowFirstColumn="0" w:lastRowLastColumn="0"/>
              <w:rPr>
                <w:rFonts w:eastAsia="Calibri"/>
              </w:rPr>
            </w:pPr>
            <w:r w:rsidRPr="00470588">
              <w:rPr>
                <w:rFonts w:eastAsia="Calibri"/>
              </w:rPr>
              <w:t xml:space="preserve">Media ± DE, T de student para </w:t>
            </w:r>
            <w:r w:rsidRPr="00470588">
              <w:rPr>
                <w:rFonts w:eastAsia="Calibri"/>
              </w:rPr>
              <w:lastRenderedPageBreak/>
              <w:t>muestras no relacionadas.</w:t>
            </w:r>
          </w:p>
        </w:tc>
      </w:tr>
      <w:tr w:rsidR="00162AE1" w:rsidRPr="00470588" w14:paraId="6F89504B" w14:textId="77777777" w:rsidTr="008A44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54C627F7" w14:textId="7149FC1C" w:rsidR="00162AE1" w:rsidRPr="00470588" w:rsidRDefault="007C61AA" w:rsidP="00941475">
            <w:pPr>
              <w:rPr>
                <w:rFonts w:eastAsia="Calibri"/>
              </w:rPr>
            </w:pPr>
            <w:r w:rsidRPr="00470588">
              <w:rPr>
                <w:rFonts w:eastAsia="Calibri"/>
              </w:rPr>
              <w:lastRenderedPageBreak/>
              <w:t>NPD</w:t>
            </w:r>
          </w:p>
        </w:tc>
        <w:tc>
          <w:tcPr>
            <w:tcW w:w="1697" w:type="dxa"/>
            <w:shd w:val="clear" w:color="auto" w:fill="auto"/>
          </w:tcPr>
          <w:p w14:paraId="3792D1CC" w14:textId="77777777" w:rsidR="007C61AA" w:rsidRPr="00470588" w:rsidRDefault="007C61AA" w:rsidP="007C61AA">
            <w:pPr>
              <w:cnfStyle w:val="000000100000" w:firstRow="0" w:lastRow="0" w:firstColumn="0" w:lastColumn="0" w:oddVBand="0" w:evenVBand="0" w:oddHBand="1" w:evenHBand="0" w:firstRowFirstColumn="0" w:firstRowLastColumn="0" w:lastRowFirstColumn="0" w:lastRowLastColumn="0"/>
              <w:rPr>
                <w:rFonts w:eastAsia="Calibri"/>
              </w:rPr>
            </w:pPr>
            <w:r w:rsidRPr="00470588">
              <w:rPr>
                <w:rFonts w:eastAsia="Calibri"/>
              </w:rPr>
              <w:t>Cualitativa</w:t>
            </w:r>
          </w:p>
          <w:p w14:paraId="16875415" w14:textId="77777777" w:rsidR="007C61AA" w:rsidRPr="00470588" w:rsidRDefault="007C61AA" w:rsidP="007C61AA">
            <w:pPr>
              <w:cnfStyle w:val="000000100000" w:firstRow="0" w:lastRow="0" w:firstColumn="0" w:lastColumn="0" w:oddVBand="0" w:evenVBand="0" w:oddHBand="1" w:evenHBand="0" w:firstRowFirstColumn="0" w:firstRowLastColumn="0" w:lastRowFirstColumn="0" w:lastRowLastColumn="0"/>
              <w:rPr>
                <w:rFonts w:eastAsia="Calibri"/>
              </w:rPr>
            </w:pPr>
            <w:r w:rsidRPr="00470588">
              <w:rPr>
                <w:rFonts w:eastAsia="Calibri"/>
              </w:rPr>
              <w:t>nominal</w:t>
            </w:r>
          </w:p>
          <w:p w14:paraId="55DB014E" w14:textId="60B15C5B" w:rsidR="00162AE1" w:rsidRPr="00470588" w:rsidRDefault="007C61AA" w:rsidP="007C61AA">
            <w:pPr>
              <w:cnfStyle w:val="000000100000" w:firstRow="0" w:lastRow="0" w:firstColumn="0" w:lastColumn="0" w:oddVBand="0" w:evenVBand="0" w:oddHBand="1" w:evenHBand="0" w:firstRowFirstColumn="0" w:firstRowLastColumn="0" w:lastRowFirstColumn="0" w:lastRowLastColumn="0"/>
              <w:rPr>
                <w:rFonts w:eastAsia="Calibri"/>
              </w:rPr>
            </w:pPr>
            <w:r w:rsidRPr="00470588">
              <w:rPr>
                <w:rFonts w:eastAsia="Calibri"/>
              </w:rPr>
              <w:t>dicotómica</w:t>
            </w:r>
          </w:p>
        </w:tc>
        <w:tc>
          <w:tcPr>
            <w:tcW w:w="2366" w:type="dxa"/>
            <w:shd w:val="clear" w:color="auto" w:fill="auto"/>
          </w:tcPr>
          <w:p w14:paraId="4DCDF915" w14:textId="7CA4EC1C"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pPr>
            <w:r w:rsidRPr="00470588">
              <w:t xml:space="preserve">Según </w:t>
            </w:r>
            <w:r w:rsidR="007C61AA" w:rsidRPr="00470588">
              <w:t xml:space="preserve">los resultados del puntaje </w:t>
            </w:r>
            <w:r w:rsidR="00BD6F14" w:rsidRPr="00470588">
              <w:t>y TSS</w:t>
            </w:r>
          </w:p>
        </w:tc>
        <w:tc>
          <w:tcPr>
            <w:tcW w:w="1889" w:type="dxa"/>
            <w:shd w:val="clear" w:color="auto" w:fill="auto"/>
          </w:tcPr>
          <w:p w14:paraId="4E80973B" w14:textId="45BAD3F7" w:rsidR="00162AE1" w:rsidRPr="00470588" w:rsidRDefault="00162AE1" w:rsidP="007C61AA">
            <w:pPr>
              <w:cnfStyle w:val="000000100000" w:firstRow="0" w:lastRow="0" w:firstColumn="0" w:lastColumn="0" w:oddVBand="0" w:evenVBand="0" w:oddHBand="1" w:evenHBand="0" w:firstRowFirstColumn="0" w:firstRowLastColumn="0" w:lastRowFirstColumn="0" w:lastRowLastColumn="0"/>
            </w:pPr>
            <w:r w:rsidRPr="00470588">
              <w:t>-</w:t>
            </w:r>
            <w:r w:rsidR="007C61AA" w:rsidRPr="00470588">
              <w:t>Presente si</w:t>
            </w:r>
          </w:p>
          <w:p w14:paraId="0492AEF6" w14:textId="6702ABDA" w:rsidR="007C61AA" w:rsidRPr="00470588" w:rsidRDefault="007C61AA" w:rsidP="007C61AA">
            <w:pPr>
              <w:cnfStyle w:val="000000100000" w:firstRow="0" w:lastRow="0" w:firstColumn="0" w:lastColumn="0" w:oddVBand="0" w:evenVBand="0" w:oddHBand="1" w:evenHBand="0" w:firstRowFirstColumn="0" w:firstRowLastColumn="0" w:lastRowFirstColumn="0" w:lastRowLastColumn="0"/>
            </w:pPr>
            <w:r w:rsidRPr="00470588">
              <w:t xml:space="preserve">NDS ≥ 6, sin importar el puntaje de TSS </w:t>
            </w:r>
          </w:p>
          <w:p w14:paraId="0D1B01F2" w14:textId="77777777" w:rsidR="007C61AA" w:rsidRPr="00470588" w:rsidRDefault="007C61AA" w:rsidP="007C61AA">
            <w:pPr>
              <w:cnfStyle w:val="000000100000" w:firstRow="0" w:lastRow="0" w:firstColumn="0" w:lastColumn="0" w:oddVBand="0" w:evenVBand="0" w:oddHBand="1" w:evenHBand="0" w:firstRowFirstColumn="0" w:firstRowLastColumn="0" w:lastRowFirstColumn="0" w:lastRowLastColumn="0"/>
            </w:pPr>
            <w:r w:rsidRPr="00470588">
              <w:t>O NDS de 3 a 5 con un puntaje de TSS ≥ 5</w:t>
            </w:r>
          </w:p>
          <w:p w14:paraId="61BA36A0" w14:textId="2D80F198" w:rsidR="007C61AA" w:rsidRPr="00470588" w:rsidRDefault="007C61AA" w:rsidP="007C61AA">
            <w:pPr>
              <w:cnfStyle w:val="000000100000" w:firstRow="0" w:lastRow="0" w:firstColumn="0" w:lastColumn="0" w:oddVBand="0" w:evenVBand="0" w:oddHBand="1" w:evenHBand="0" w:firstRowFirstColumn="0" w:firstRowLastColumn="0" w:lastRowFirstColumn="0" w:lastRowLastColumn="0"/>
            </w:pPr>
            <w:r w:rsidRPr="00470588">
              <w:t>-Ausente si no cumple ninguno de los criterios anteriores</w:t>
            </w:r>
          </w:p>
        </w:tc>
        <w:tc>
          <w:tcPr>
            <w:tcW w:w="1943" w:type="dxa"/>
            <w:shd w:val="clear" w:color="auto" w:fill="auto"/>
          </w:tcPr>
          <w:p w14:paraId="3FCE7C74" w14:textId="77777777" w:rsidR="00162AE1" w:rsidRPr="00470588" w:rsidRDefault="00162AE1" w:rsidP="00941475">
            <w:pPr>
              <w:cnfStyle w:val="000000100000" w:firstRow="0" w:lastRow="0" w:firstColumn="0" w:lastColumn="0" w:oddVBand="0" w:evenVBand="0" w:oddHBand="1" w:evenHBand="0" w:firstRowFirstColumn="0" w:firstRowLastColumn="0" w:lastRowFirstColumn="0" w:lastRowLastColumn="0"/>
              <w:rPr>
                <w:rFonts w:eastAsia="Calibri"/>
              </w:rPr>
            </w:pPr>
            <w:r w:rsidRPr="00470588">
              <w:t>Frecuencia absoluta y relativa. Chi cuadrado o el test exacto de Fisher.</w:t>
            </w:r>
          </w:p>
        </w:tc>
      </w:tr>
    </w:tbl>
    <w:p w14:paraId="1609664D" w14:textId="4FB11AAC" w:rsidR="001C52AA" w:rsidRPr="00470588" w:rsidRDefault="009C5693" w:rsidP="007A0865">
      <w:pPr>
        <w:spacing w:line="240" w:lineRule="auto"/>
        <w:rPr>
          <w:i/>
          <w:iCs/>
        </w:rPr>
      </w:pPr>
      <w:r w:rsidRPr="00470588">
        <w:t xml:space="preserve">DE: desviación estándar; DM: diabetes mellitus; EAP: enfermedad arterial periférica; HTA: hipertensión arterial. NDS: </w:t>
      </w:r>
      <w:r w:rsidRPr="00470588">
        <w:rPr>
          <w:i/>
          <w:iCs/>
        </w:rPr>
        <w:t>Neuropathy Disability Score</w:t>
      </w:r>
      <w:r w:rsidRPr="00470588">
        <w:t xml:space="preserve">; TSS: </w:t>
      </w:r>
      <w:r w:rsidRPr="00470588">
        <w:rPr>
          <w:i/>
          <w:iCs/>
        </w:rPr>
        <w:t>Total Sympton Score</w:t>
      </w:r>
    </w:p>
    <w:p w14:paraId="6EE6CBE1" w14:textId="77777777" w:rsidR="007A0865" w:rsidRPr="00470588" w:rsidRDefault="007A0865" w:rsidP="007A0865">
      <w:pPr>
        <w:spacing w:line="240" w:lineRule="auto"/>
      </w:pPr>
    </w:p>
    <w:p w14:paraId="01A65618" w14:textId="5C8D6ADF" w:rsidR="001C52AA" w:rsidRPr="00470588" w:rsidRDefault="001C52AA" w:rsidP="007A0865">
      <w:pPr>
        <w:pStyle w:val="Heading2"/>
        <w:rPr>
          <w:rFonts w:ascii="Arial" w:hAnsi="Arial" w:cs="Arial"/>
          <w:b/>
          <w:bCs/>
          <w:color w:val="auto"/>
          <w:sz w:val="24"/>
          <w:szCs w:val="24"/>
        </w:rPr>
      </w:pPr>
      <w:bookmarkStart w:id="81" w:name="_Toc178713986"/>
      <w:r w:rsidRPr="00470588">
        <w:rPr>
          <w:rFonts w:ascii="Arial" w:hAnsi="Arial" w:cs="Arial"/>
          <w:b/>
          <w:bCs/>
          <w:color w:val="auto"/>
          <w:sz w:val="24"/>
          <w:szCs w:val="24"/>
        </w:rPr>
        <w:t>Procedimientos</w:t>
      </w:r>
      <w:bookmarkEnd w:id="81"/>
    </w:p>
    <w:p w14:paraId="65417A15" w14:textId="20F1CE14" w:rsidR="001C52AA" w:rsidRPr="00470588" w:rsidRDefault="007A0865" w:rsidP="001C52AA">
      <w:r w:rsidRPr="00470588">
        <w:t>Se proced</w:t>
      </w:r>
      <w:r w:rsidR="00D844CF" w:rsidRPr="00470588">
        <w:t>erá</w:t>
      </w:r>
      <w:r w:rsidRPr="00470588">
        <w:t xml:space="preserve"> a entrevistar a los pacientes seleccionados y que aceptaron a participar</w:t>
      </w:r>
      <w:r w:rsidR="00D844CF" w:rsidRPr="00470588">
        <w:t xml:space="preserve"> para determinar su edad y el comportamiento de las variables operacionalizadas con anterioridad en cada uno de ellos. A continuación se procederá a realizar un examen físico que incluirá la inspección de la piel, la valoración de la temperatura y la presencia de pulsos en los miembros. </w:t>
      </w:r>
    </w:p>
    <w:p w14:paraId="073B5B70" w14:textId="6F17211C" w:rsidR="001C52AA" w:rsidRPr="00470588" w:rsidRDefault="00D844CF" w:rsidP="001C52AA">
      <w:r w:rsidRPr="00470588">
        <w:t xml:space="preserve">En todos los pacientes se </w:t>
      </w:r>
      <w:r w:rsidR="00124B02" w:rsidRPr="00470588">
        <w:t>realizará</w:t>
      </w:r>
      <w:r w:rsidRPr="00470588">
        <w:t xml:space="preserve"> al diagnóstico de NPD a través de los test de síntomas</w:t>
      </w:r>
      <w:r w:rsidR="001C52AA" w:rsidRPr="00470588">
        <w:t xml:space="preserve"> TSS y de signos NDS</w:t>
      </w:r>
      <w:r w:rsidRPr="00470588">
        <w:t xml:space="preserve">. Estos han sido </w:t>
      </w:r>
      <w:r w:rsidR="001C52AA" w:rsidRPr="00470588">
        <w:t>validados a nivel internacional, utilizándose en distintos ensayos clínicos.</w:t>
      </w:r>
    </w:p>
    <w:p w14:paraId="0B2F8BBF" w14:textId="5E4E1FEE" w:rsidR="001C52AA" w:rsidRPr="00470588" w:rsidRDefault="00124B02" w:rsidP="001C52AA">
      <w:r w:rsidRPr="00470588">
        <w:t xml:space="preserve">El </w:t>
      </w:r>
      <w:r w:rsidR="001C52AA" w:rsidRPr="00470588">
        <w:t>NDS</w:t>
      </w:r>
      <w:r w:rsidRPr="00470588">
        <w:t xml:space="preserve"> e</w:t>
      </w:r>
      <w:r w:rsidR="001C52AA" w:rsidRPr="00470588">
        <w:t xml:space="preserve">s una escala de 4 signos: percepción de temperatura, vibración, presión y reflejo aquilino. Se realizó una modificación, utilizada en otro estudio, que consistió en evaluar la presión a través de un monofilamento de 10 gr. El test original usa el pinchazo con alfiler que actualmente está en desuso ya que puede causar lesiones en los pacientes con sensibilidad disminuida. En cambio, el monofilamento no tiene este inconveniente, está validado como herramienta y su uso es universal. El puntaje para cada signo es: 0 si la percepción está </w:t>
      </w:r>
      <w:r w:rsidR="001C52AA" w:rsidRPr="00470588">
        <w:lastRenderedPageBreak/>
        <w:t>conservada, 1 si está alterada, con excepción del reflejo Aquileo, que es 0 si es normal, 1 si está disminuido y 2 si está ausente (Anexo 1).</w:t>
      </w:r>
      <w:r w:rsidR="001C52AA" w:rsidRPr="00470588">
        <w:rPr>
          <w:vertAlign w:val="superscript"/>
        </w:rPr>
        <w:t>(</w:t>
      </w:r>
      <w:r w:rsidR="00E412D8" w:rsidRPr="00470588">
        <w:rPr>
          <w:vertAlign w:val="superscript"/>
        </w:rPr>
        <w:fldChar w:fldCharType="begin"/>
      </w:r>
      <w:r w:rsidR="00E412D8" w:rsidRPr="00470588">
        <w:rPr>
          <w:vertAlign w:val="superscript"/>
        </w:rPr>
        <w:instrText xml:space="preserve"> NOTEREF _Ref177072398 \h </w:instrText>
      </w:r>
      <w:r w:rsidR="00E412D8" w:rsidRPr="00470588">
        <w:rPr>
          <w:vertAlign w:val="superscript"/>
        </w:rPr>
      </w:r>
      <w:r w:rsidR="00E412D8" w:rsidRPr="00470588">
        <w:rPr>
          <w:vertAlign w:val="superscript"/>
        </w:rPr>
        <w:fldChar w:fldCharType="separate"/>
      </w:r>
      <w:r w:rsidR="0043049E">
        <w:rPr>
          <w:vertAlign w:val="superscript"/>
        </w:rPr>
        <w:t>43</w:t>
      </w:r>
      <w:r w:rsidR="00E412D8" w:rsidRPr="00470588">
        <w:rPr>
          <w:vertAlign w:val="superscript"/>
        </w:rPr>
        <w:fldChar w:fldCharType="end"/>
      </w:r>
      <w:r w:rsidR="001C52AA" w:rsidRPr="00470588">
        <w:rPr>
          <w:vertAlign w:val="superscript"/>
        </w:rPr>
        <w:t>)</w:t>
      </w:r>
    </w:p>
    <w:p w14:paraId="58013102" w14:textId="2FBC934E" w:rsidR="001C52AA" w:rsidRPr="00470588" w:rsidRDefault="00124B02" w:rsidP="001C52AA">
      <w:r w:rsidRPr="00470588">
        <w:t xml:space="preserve">El </w:t>
      </w:r>
      <w:r w:rsidR="001C52AA" w:rsidRPr="00470588">
        <w:t>TSS</w:t>
      </w:r>
      <w:r w:rsidRPr="00470588">
        <w:t xml:space="preserve"> e</w:t>
      </w:r>
      <w:r w:rsidR="001C52AA" w:rsidRPr="00470588">
        <w:t>s una escala que contempla 4 síntomas: dolor quemante, dolor lancinante, adormecimiento y hormigueo o parestesias. Se les adjudica un puntaje, teniendo en cuenta la frecuencia y severidad de cada uno. (Anexo2).</w:t>
      </w:r>
      <w:r w:rsidR="001C52AA" w:rsidRPr="00470588">
        <w:rPr>
          <w:vertAlign w:val="superscript"/>
        </w:rPr>
        <w:t>(</w:t>
      </w:r>
      <w:r w:rsidRPr="00470588">
        <w:rPr>
          <w:rStyle w:val="EndnoteReference"/>
        </w:rPr>
        <w:endnoteReference w:id="48"/>
      </w:r>
      <w:r w:rsidR="001C52AA" w:rsidRPr="00470588">
        <w:rPr>
          <w:vertAlign w:val="superscript"/>
        </w:rPr>
        <w:t>)</w:t>
      </w:r>
    </w:p>
    <w:p w14:paraId="67F0D8E8" w14:textId="6BA463CB" w:rsidR="001C52AA" w:rsidRPr="00470588" w:rsidRDefault="001C52AA" w:rsidP="003350EC">
      <w:pPr>
        <w:pStyle w:val="Heading2"/>
        <w:rPr>
          <w:rFonts w:ascii="Arial" w:hAnsi="Arial" w:cs="Arial"/>
          <w:b/>
          <w:bCs/>
          <w:color w:val="auto"/>
          <w:sz w:val="24"/>
          <w:szCs w:val="24"/>
        </w:rPr>
      </w:pPr>
      <w:bookmarkStart w:id="82" w:name="_Toc178713987"/>
      <w:r w:rsidRPr="00470588">
        <w:rPr>
          <w:rFonts w:ascii="Arial" w:hAnsi="Arial" w:cs="Arial"/>
          <w:b/>
          <w:bCs/>
          <w:color w:val="auto"/>
          <w:sz w:val="24"/>
          <w:szCs w:val="24"/>
        </w:rPr>
        <w:t>Recolección de los datos y análisis de la información</w:t>
      </w:r>
      <w:bookmarkEnd w:id="82"/>
    </w:p>
    <w:p w14:paraId="133FAADF" w14:textId="3780BC42" w:rsidR="00E412D8" w:rsidRPr="00470588" w:rsidRDefault="00E412D8" w:rsidP="00E412D8">
      <w:pPr>
        <w:rPr>
          <w:rFonts w:eastAsia="Calibri"/>
        </w:rPr>
      </w:pPr>
      <w:r w:rsidRPr="00470588">
        <w:rPr>
          <w:rFonts w:eastAsia="Calibri"/>
        </w:rPr>
        <w:t xml:space="preserve">La información recolectada se recogerá en una planilla confeccionada con este propósito (anexo 3) y se procesará en formato electrónico </w:t>
      </w:r>
      <w:r w:rsidRPr="00470588">
        <w:rPr>
          <w:rFonts w:eastAsia="Times New Roman"/>
          <w:lang w:eastAsia="es-ES"/>
        </w:rPr>
        <w:t>colocando los datos en una ficha de vaciamiento mediante el programa Excel del Office</w:t>
      </w:r>
      <w:r w:rsidRPr="00470588">
        <w:rPr>
          <w:rFonts w:eastAsia="Calibri"/>
        </w:rPr>
        <w:t xml:space="preserve">. </w:t>
      </w:r>
    </w:p>
    <w:p w14:paraId="0C8AEE81" w14:textId="7633DA82" w:rsidR="00E412D8" w:rsidRPr="00470588" w:rsidRDefault="00E412D8" w:rsidP="00E412D8">
      <w:pPr>
        <w:rPr>
          <w:rFonts w:eastAsia="Calibri"/>
        </w:rPr>
      </w:pPr>
      <w:bookmarkStart w:id="83" w:name="_Hlk119235004"/>
      <w:r w:rsidRPr="00470588">
        <w:rPr>
          <w:rFonts w:eastAsia="Calibri"/>
        </w:rPr>
        <w:t xml:space="preserve">Para el análisis estadístico se utilizará el programa </w:t>
      </w:r>
      <w:r w:rsidRPr="00470588">
        <w:rPr>
          <w:rFonts w:eastAsia="Calibri"/>
          <w:i/>
        </w:rPr>
        <w:t>Statistical Package Scientific System</w:t>
      </w:r>
      <w:r w:rsidRPr="00470588">
        <w:rPr>
          <w:rFonts w:eastAsia="Calibri"/>
        </w:rPr>
        <w:t xml:space="preserve"> (SPSS) versión 25.0. Se aplicará la media aritmética y la desviación estándar en el caso de variables cuantitativas; y las frecuencias absolutas y relativas para las variables cualitativas. Las variables cuantitativas se compararán entre sí mediante la t de</w:t>
      </w:r>
      <w:r w:rsidRPr="00470588">
        <w:rPr>
          <w:rFonts w:eastAsia="Calibri"/>
          <w:i/>
        </w:rPr>
        <w:t xml:space="preserve"> student</w:t>
      </w:r>
      <w:r w:rsidRPr="00470588">
        <w:rPr>
          <w:rFonts w:eastAsia="Calibri"/>
        </w:rPr>
        <w:t xml:space="preserve"> para muestras independientes y las cualitativas mediante el test de Chi Cuadrado, con las correcciones Fisher en los casos indicados y </w:t>
      </w:r>
      <w:r w:rsidRPr="00470588">
        <w:rPr>
          <w:lang w:bidi="he-IL"/>
        </w:rPr>
        <w:t xml:space="preserve">se calculará el </w:t>
      </w:r>
      <w:r w:rsidRPr="00470588">
        <w:rPr>
          <w:i/>
          <w:lang w:bidi="he-IL"/>
        </w:rPr>
        <w:t>odds ratio</w:t>
      </w:r>
      <w:r w:rsidRPr="00470588">
        <w:rPr>
          <w:lang w:bidi="he-IL"/>
        </w:rPr>
        <w:t xml:space="preserve"> </w:t>
      </w:r>
      <w:r w:rsidRPr="00470588">
        <w:rPr>
          <w:rFonts w:eastAsia="Calibri"/>
        </w:rPr>
        <w:t>con intervalo de confianza del 95% y con una p &lt; 0,05.  Estos valores se plasmarán en tablas y gráficos estadísticos.</w:t>
      </w:r>
    </w:p>
    <w:bookmarkEnd w:id="83"/>
    <w:p w14:paraId="48EC74E6" w14:textId="1FFE62C3" w:rsidR="00E412D8" w:rsidRPr="00470588" w:rsidRDefault="00E412D8" w:rsidP="00E412D8">
      <w:pPr>
        <w:rPr>
          <w:rFonts w:eastAsia="Calibri"/>
        </w:rPr>
      </w:pPr>
      <w:r w:rsidRPr="00470588">
        <w:rPr>
          <w:rFonts w:eastAsia="Calibri"/>
        </w:rPr>
        <w:t xml:space="preserve">Los resultados serán sometidos a análisis y discusión, comparándolos con los descritos en la literatura por otros autores, llegando a conclusiones y haciendo recomendaciones dirigidas a establecer un grupo de acciones encaminadas a mejorar la salud de los pacientes. </w:t>
      </w:r>
    </w:p>
    <w:p w14:paraId="771DBA6A" w14:textId="7E905B11" w:rsidR="001C52AA" w:rsidRPr="004F0E8A" w:rsidRDefault="00E412D8" w:rsidP="001C52AA">
      <w:pPr>
        <w:rPr>
          <w:rFonts w:eastAsia="Times New Roman"/>
          <w:b/>
          <w:lang w:eastAsia="es-ES"/>
        </w:rPr>
      </w:pPr>
      <w:r w:rsidRPr="00470588">
        <w:rPr>
          <w:rFonts w:eastAsia="Calibri"/>
        </w:rPr>
        <w:t>Toda la investigación se presentará en un informe final confeccionado en el procesador de texto Word, con la utilización de una PC, con sistema operativo Windows 10.</w:t>
      </w:r>
    </w:p>
    <w:p w14:paraId="7E176DA2" w14:textId="26BF0441" w:rsidR="001C52AA" w:rsidRPr="00470588" w:rsidRDefault="001C52AA" w:rsidP="000A0835">
      <w:pPr>
        <w:pStyle w:val="Heading2"/>
        <w:rPr>
          <w:rFonts w:ascii="Arial" w:hAnsi="Arial" w:cs="Arial"/>
          <w:b/>
          <w:bCs/>
          <w:color w:val="auto"/>
          <w:sz w:val="24"/>
          <w:szCs w:val="24"/>
        </w:rPr>
      </w:pPr>
      <w:bookmarkStart w:id="84" w:name="_Toc178713988"/>
      <w:r w:rsidRPr="00470588">
        <w:rPr>
          <w:rFonts w:ascii="Arial" w:hAnsi="Arial" w:cs="Arial"/>
          <w:b/>
          <w:bCs/>
          <w:color w:val="auto"/>
          <w:sz w:val="24"/>
          <w:szCs w:val="24"/>
        </w:rPr>
        <w:lastRenderedPageBreak/>
        <w:t>C</w:t>
      </w:r>
      <w:r w:rsidR="000A0835" w:rsidRPr="00470588">
        <w:rPr>
          <w:rFonts w:ascii="Arial" w:hAnsi="Arial" w:cs="Arial"/>
          <w:b/>
          <w:bCs/>
          <w:color w:val="auto"/>
          <w:sz w:val="24"/>
          <w:szCs w:val="24"/>
        </w:rPr>
        <w:t>onsideraciones éticas</w:t>
      </w:r>
      <w:bookmarkEnd w:id="84"/>
      <w:r w:rsidR="000A0835" w:rsidRPr="00470588">
        <w:rPr>
          <w:rFonts w:ascii="Arial" w:hAnsi="Arial" w:cs="Arial"/>
          <w:b/>
          <w:bCs/>
          <w:color w:val="auto"/>
          <w:sz w:val="24"/>
          <w:szCs w:val="24"/>
        </w:rPr>
        <w:t xml:space="preserve"> </w:t>
      </w:r>
    </w:p>
    <w:p w14:paraId="29F8DB16" w14:textId="0E20C1FC" w:rsidR="003350EC" w:rsidRPr="00470588" w:rsidRDefault="00E412D8" w:rsidP="003350EC">
      <w:r w:rsidRPr="00470588">
        <w:t>La investigación se realizará según los preceptos establecidos en el Código internacional de ética médica y los que competen a las investigaciones biomédicas en humanos contemplados en la «Declaración de Helsinki», adoptada por la 64 Asamblea de la Asociación médica mundial en octubre de 2013.</w:t>
      </w:r>
      <w:r w:rsidRPr="00470588">
        <w:rPr>
          <w:vertAlign w:val="superscript"/>
        </w:rPr>
        <w:t>(</w:t>
      </w:r>
      <w:r w:rsidRPr="00470588">
        <w:rPr>
          <w:rStyle w:val="EndnoteReference"/>
        </w:rPr>
        <w:endnoteReference w:id="49"/>
      </w:r>
      <w:r w:rsidRPr="00470588">
        <w:rPr>
          <w:vertAlign w:val="superscript"/>
        </w:rPr>
        <w:t>)</w:t>
      </w:r>
      <w:r w:rsidR="001C52AA" w:rsidRPr="00470588">
        <w:t xml:space="preserve"> </w:t>
      </w:r>
      <w:r w:rsidR="003350EC" w:rsidRPr="00470588">
        <w:t xml:space="preserve">La investigación se llevará a cabo con la participación voluntaria de los pacientes con DM a quienes se les explicará el objetivo de esta. De estar conforme, firmarían el consentimiento informado (Anexo 4) antes de aplicar los instrumentos. </w:t>
      </w:r>
    </w:p>
    <w:p w14:paraId="7A830F33" w14:textId="793A4581" w:rsidR="001C52AA" w:rsidRPr="00470588" w:rsidRDefault="001C52AA" w:rsidP="001C52AA">
      <w:r w:rsidRPr="00470588">
        <w:t>Los datos utilizados serán recogidos sin variación ninguna y con la total confidencialidad sobre la identidad de los pacientes</w:t>
      </w:r>
      <w:r w:rsidR="003350EC" w:rsidRPr="00470588">
        <w:t>. L</w:t>
      </w:r>
      <w:r w:rsidRPr="00470588">
        <w:t>a base de datos de la información obtenida, será protegida cumpliendo los protocolos de seguridad informática. El trabajo se llevará a cabo con la aprobación del Comité de Ética de la Investigación (CEI) y del Consejo Científico del INACV.</w:t>
      </w:r>
    </w:p>
    <w:p w14:paraId="52D6DB61" w14:textId="77777777" w:rsidR="000C73FA" w:rsidRPr="00470588" w:rsidRDefault="000C73FA" w:rsidP="000C73FA"/>
    <w:p w14:paraId="6C91871C" w14:textId="77777777" w:rsidR="003350EC" w:rsidRPr="00470588" w:rsidRDefault="003350EC" w:rsidP="000C73FA"/>
    <w:p w14:paraId="636FB7BE" w14:textId="77777777" w:rsidR="003350EC" w:rsidRPr="00470588" w:rsidRDefault="003350EC" w:rsidP="000C73FA"/>
    <w:p w14:paraId="362D8F68" w14:textId="77777777" w:rsidR="003350EC" w:rsidRPr="00470588" w:rsidRDefault="003350EC" w:rsidP="000C73FA"/>
    <w:p w14:paraId="0B5C5327" w14:textId="77777777" w:rsidR="003350EC" w:rsidRPr="00470588" w:rsidRDefault="003350EC" w:rsidP="000C73FA"/>
    <w:p w14:paraId="320923F8" w14:textId="77777777" w:rsidR="003350EC" w:rsidRPr="00470588" w:rsidRDefault="003350EC" w:rsidP="000C73FA"/>
    <w:p w14:paraId="0D52BA31" w14:textId="77777777" w:rsidR="003350EC" w:rsidRPr="00470588" w:rsidRDefault="003350EC" w:rsidP="000C73FA"/>
    <w:p w14:paraId="38A3D159" w14:textId="77777777" w:rsidR="003350EC" w:rsidRPr="00470588" w:rsidRDefault="003350EC" w:rsidP="000C73FA"/>
    <w:p w14:paraId="2DC00862" w14:textId="77777777" w:rsidR="003350EC" w:rsidRPr="00470588" w:rsidRDefault="003350EC" w:rsidP="000C73FA"/>
    <w:p w14:paraId="345C4B23" w14:textId="77777777" w:rsidR="003350EC" w:rsidRPr="00470588" w:rsidRDefault="003350EC" w:rsidP="000C73FA"/>
    <w:p w14:paraId="542EFEDD" w14:textId="77777777" w:rsidR="003350EC" w:rsidRDefault="003350EC" w:rsidP="000C73FA"/>
    <w:p w14:paraId="2A82D574" w14:textId="70B1AFA1" w:rsidR="00F53E6B" w:rsidRPr="00612DD5" w:rsidRDefault="00F53E6B" w:rsidP="00612DD5">
      <w:pPr>
        <w:pStyle w:val="Heading2"/>
        <w:rPr>
          <w:rFonts w:ascii="Arial" w:hAnsi="Arial" w:cs="Arial"/>
          <w:b/>
          <w:bCs/>
          <w:color w:val="auto"/>
          <w:sz w:val="24"/>
          <w:szCs w:val="24"/>
        </w:rPr>
      </w:pPr>
      <w:bookmarkStart w:id="85" w:name="_Toc178713989"/>
      <w:r w:rsidRPr="00612DD5">
        <w:rPr>
          <w:rFonts w:ascii="Arial" w:hAnsi="Arial" w:cs="Arial"/>
          <w:b/>
          <w:bCs/>
          <w:color w:val="auto"/>
          <w:sz w:val="24"/>
          <w:szCs w:val="24"/>
        </w:rPr>
        <w:lastRenderedPageBreak/>
        <w:t>C</w:t>
      </w:r>
      <w:r w:rsidR="00612DD5" w:rsidRPr="00612DD5">
        <w:rPr>
          <w:rFonts w:ascii="Arial" w:hAnsi="Arial" w:cs="Arial"/>
          <w:b/>
          <w:bCs/>
          <w:color w:val="auto"/>
          <w:sz w:val="24"/>
          <w:szCs w:val="24"/>
        </w:rPr>
        <w:t>ronograma</w:t>
      </w:r>
      <w:bookmarkEnd w:id="85"/>
    </w:p>
    <w:tbl>
      <w:tblPr>
        <w:tblStyle w:val="PlainTable4"/>
        <w:tblW w:w="10832" w:type="dxa"/>
        <w:jc w:val="center"/>
        <w:shd w:val="clear" w:color="auto" w:fill="FFFFFF" w:themeFill="background1"/>
        <w:tblLayout w:type="fixed"/>
        <w:tblLook w:val="01E0" w:firstRow="1" w:lastRow="1" w:firstColumn="1" w:lastColumn="1" w:noHBand="0" w:noVBand="0"/>
      </w:tblPr>
      <w:tblGrid>
        <w:gridCol w:w="5103"/>
        <w:gridCol w:w="2835"/>
        <w:gridCol w:w="2894"/>
      </w:tblGrid>
      <w:tr w:rsidR="00F53E6B" w:rsidRPr="00F53E6B" w14:paraId="73827BB3" w14:textId="77777777" w:rsidTr="00F53E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D9E2F3" w:themeFill="accent1" w:themeFillTint="33"/>
          </w:tcPr>
          <w:p w14:paraId="21704A93" w14:textId="77777777" w:rsidR="00F53E6B" w:rsidRPr="00F53E6B" w:rsidRDefault="00F53E6B" w:rsidP="00F53E6B">
            <w:pPr>
              <w:rPr>
                <w:lang w:val="es-CU"/>
              </w:rPr>
            </w:pPr>
            <w:r w:rsidRPr="00F53E6B">
              <w:rPr>
                <w:lang w:val="es-CU"/>
              </w:rPr>
              <w:t>Tareas Principales</w:t>
            </w:r>
          </w:p>
        </w:tc>
        <w:tc>
          <w:tcPr>
            <w:cnfStyle w:val="000010000000" w:firstRow="0" w:lastRow="0" w:firstColumn="0" w:lastColumn="0" w:oddVBand="1" w:evenVBand="0" w:oddHBand="0" w:evenHBand="0" w:firstRowFirstColumn="0" w:firstRowLastColumn="0" w:lastRowFirstColumn="0" w:lastRowLastColumn="0"/>
            <w:tcW w:w="2835" w:type="dxa"/>
            <w:shd w:val="clear" w:color="auto" w:fill="D9E2F3" w:themeFill="accent1" w:themeFillTint="33"/>
          </w:tcPr>
          <w:p w14:paraId="6BE9B201" w14:textId="77777777" w:rsidR="00F53E6B" w:rsidRPr="00F53E6B" w:rsidRDefault="00F53E6B" w:rsidP="00F53E6B">
            <w:pPr>
              <w:rPr>
                <w:lang w:val="es-CU"/>
              </w:rPr>
            </w:pPr>
            <w:r w:rsidRPr="00F53E6B">
              <w:rPr>
                <w:lang w:val="es-CU"/>
              </w:rPr>
              <w:t>Fecha de inicio</w:t>
            </w:r>
          </w:p>
        </w:tc>
        <w:tc>
          <w:tcPr>
            <w:cnfStyle w:val="000100000000" w:firstRow="0" w:lastRow="0" w:firstColumn="0" w:lastColumn="1" w:oddVBand="0" w:evenVBand="0" w:oddHBand="0" w:evenHBand="0" w:firstRowFirstColumn="0" w:firstRowLastColumn="0" w:lastRowFirstColumn="0" w:lastRowLastColumn="0"/>
            <w:tcW w:w="2894" w:type="dxa"/>
            <w:shd w:val="clear" w:color="auto" w:fill="D9E2F3" w:themeFill="accent1" w:themeFillTint="33"/>
          </w:tcPr>
          <w:p w14:paraId="7F5ED0F0" w14:textId="77777777" w:rsidR="00F53E6B" w:rsidRPr="00F53E6B" w:rsidRDefault="00F53E6B" w:rsidP="00F53E6B">
            <w:pPr>
              <w:rPr>
                <w:lang w:val="es-CU"/>
              </w:rPr>
            </w:pPr>
            <w:r w:rsidRPr="00F53E6B">
              <w:rPr>
                <w:lang w:val="es-CU"/>
              </w:rPr>
              <w:t>Fecha de terminación</w:t>
            </w:r>
          </w:p>
        </w:tc>
      </w:tr>
      <w:tr w:rsidR="00F53E6B" w:rsidRPr="00F53E6B" w14:paraId="44B46AC2" w14:textId="77777777" w:rsidTr="00F53E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FFFFFF" w:themeFill="background1"/>
          </w:tcPr>
          <w:p w14:paraId="6FD06D3F" w14:textId="77777777" w:rsidR="00F53E6B" w:rsidRPr="00F53E6B" w:rsidRDefault="00F53E6B" w:rsidP="00F53E6B">
            <w:pPr>
              <w:rPr>
                <w:b w:val="0"/>
                <w:bCs w:val="0"/>
                <w:lang w:val="es-CU"/>
              </w:rPr>
            </w:pPr>
            <w:r w:rsidRPr="00F53E6B">
              <w:rPr>
                <w:b w:val="0"/>
                <w:bCs w:val="0"/>
                <w:lang w:val="es-CU"/>
              </w:rPr>
              <w:t>Revisión bibliográfica</w:t>
            </w:r>
          </w:p>
        </w:tc>
        <w:tc>
          <w:tcPr>
            <w:cnfStyle w:val="000100000000" w:firstRow="0" w:lastRow="0" w:firstColumn="0" w:lastColumn="1" w:oddVBand="0" w:evenVBand="0" w:oddHBand="0" w:evenHBand="0" w:firstRowFirstColumn="0" w:firstRowLastColumn="0" w:lastRowFirstColumn="0" w:lastRowLastColumn="0"/>
            <w:tcW w:w="5729" w:type="dxa"/>
            <w:gridSpan w:val="2"/>
            <w:shd w:val="clear" w:color="auto" w:fill="FFFFFF" w:themeFill="background1"/>
          </w:tcPr>
          <w:p w14:paraId="29FC0765" w14:textId="01C19AC9" w:rsidR="00F53E6B" w:rsidRPr="00F53E6B" w:rsidRDefault="00F53E6B" w:rsidP="00F53E6B">
            <w:pPr>
              <w:rPr>
                <w:b w:val="0"/>
                <w:bCs w:val="0"/>
                <w:lang w:val="es-CU"/>
              </w:rPr>
            </w:pPr>
            <w:r w:rsidRPr="00F53E6B">
              <w:rPr>
                <w:b w:val="0"/>
                <w:bCs w:val="0"/>
                <w:lang w:val="es-CU"/>
              </w:rPr>
              <w:t xml:space="preserve">          </w:t>
            </w:r>
            <w:r w:rsidR="00612DD5">
              <w:rPr>
                <w:b w:val="0"/>
                <w:bCs w:val="0"/>
                <w:lang w:val="es-CU"/>
              </w:rPr>
              <w:t>Todo el tiempo que dure la investigación</w:t>
            </w:r>
          </w:p>
        </w:tc>
      </w:tr>
      <w:tr w:rsidR="00F53E6B" w:rsidRPr="00F53E6B" w14:paraId="5DFB9F09" w14:textId="77777777" w:rsidTr="00F53E6B">
        <w:trPr>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FFFFFF" w:themeFill="background1"/>
          </w:tcPr>
          <w:p w14:paraId="58706FBD" w14:textId="77777777" w:rsidR="00F53E6B" w:rsidRPr="00F53E6B" w:rsidRDefault="00F53E6B" w:rsidP="00F53E6B">
            <w:pPr>
              <w:rPr>
                <w:b w:val="0"/>
                <w:bCs w:val="0"/>
                <w:lang w:val="es-CU"/>
              </w:rPr>
            </w:pPr>
            <w:r w:rsidRPr="00F53E6B">
              <w:rPr>
                <w:b w:val="0"/>
                <w:bCs w:val="0"/>
                <w:lang w:val="es-CU"/>
              </w:rPr>
              <w:t>Elaborar propuesta de investigación</w:t>
            </w:r>
          </w:p>
        </w:tc>
        <w:tc>
          <w:tcPr>
            <w:cnfStyle w:val="000010000000" w:firstRow="0" w:lastRow="0" w:firstColumn="0" w:lastColumn="0" w:oddVBand="1" w:evenVBand="0" w:oddHBand="0" w:evenHBand="0" w:firstRowFirstColumn="0" w:firstRowLastColumn="0" w:lastRowFirstColumn="0" w:lastRowLastColumn="0"/>
            <w:tcW w:w="2835" w:type="dxa"/>
            <w:shd w:val="clear" w:color="auto" w:fill="FFFFFF" w:themeFill="background1"/>
          </w:tcPr>
          <w:p w14:paraId="6C7B88A3" w14:textId="3D6C358E" w:rsidR="00F53E6B" w:rsidRPr="00F53E6B" w:rsidRDefault="00F53E6B" w:rsidP="00F53E6B">
            <w:pPr>
              <w:rPr>
                <w:lang w:val="es-CU"/>
              </w:rPr>
            </w:pPr>
            <w:r w:rsidRPr="00F53E6B">
              <w:rPr>
                <w:lang w:val="es-CU"/>
              </w:rPr>
              <w:t xml:space="preserve">          </w:t>
            </w:r>
            <w:r w:rsidR="00612DD5">
              <w:rPr>
                <w:lang w:val="es-CU"/>
              </w:rPr>
              <w:t xml:space="preserve">Agosto </w:t>
            </w:r>
            <w:r w:rsidRPr="00F53E6B">
              <w:rPr>
                <w:lang w:val="es-CU"/>
              </w:rPr>
              <w:t xml:space="preserve">2024       </w:t>
            </w:r>
          </w:p>
        </w:tc>
        <w:tc>
          <w:tcPr>
            <w:cnfStyle w:val="000100000000" w:firstRow="0" w:lastRow="0" w:firstColumn="0" w:lastColumn="1" w:oddVBand="0" w:evenVBand="0" w:oddHBand="0" w:evenHBand="0" w:firstRowFirstColumn="0" w:firstRowLastColumn="0" w:lastRowFirstColumn="0" w:lastRowLastColumn="0"/>
            <w:tcW w:w="2894" w:type="dxa"/>
            <w:shd w:val="clear" w:color="auto" w:fill="FFFFFF" w:themeFill="background1"/>
          </w:tcPr>
          <w:p w14:paraId="5A35D365" w14:textId="07FA4AE7" w:rsidR="00F53E6B" w:rsidRPr="00F53E6B" w:rsidRDefault="00F53E6B" w:rsidP="00F53E6B">
            <w:pPr>
              <w:rPr>
                <w:b w:val="0"/>
                <w:bCs w:val="0"/>
                <w:lang w:val="es-CU"/>
              </w:rPr>
            </w:pPr>
            <w:r w:rsidRPr="00F53E6B">
              <w:rPr>
                <w:b w:val="0"/>
                <w:bCs w:val="0"/>
                <w:lang w:val="es-CU"/>
              </w:rPr>
              <w:t xml:space="preserve">       </w:t>
            </w:r>
            <w:r w:rsidR="00612DD5">
              <w:rPr>
                <w:b w:val="0"/>
                <w:bCs w:val="0"/>
                <w:lang w:val="es-CU"/>
              </w:rPr>
              <w:t>Septiembre</w:t>
            </w:r>
            <w:r w:rsidRPr="00F53E6B">
              <w:rPr>
                <w:b w:val="0"/>
                <w:bCs w:val="0"/>
                <w:lang w:val="es-CU"/>
              </w:rPr>
              <w:t xml:space="preserve"> 2024                </w:t>
            </w:r>
          </w:p>
        </w:tc>
      </w:tr>
      <w:tr w:rsidR="00F53E6B" w:rsidRPr="00F53E6B" w14:paraId="00DE0E98" w14:textId="77777777" w:rsidTr="00F53E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FFFFFF" w:themeFill="background1"/>
          </w:tcPr>
          <w:p w14:paraId="1910F1D7" w14:textId="77777777" w:rsidR="00F53E6B" w:rsidRPr="00F53E6B" w:rsidRDefault="00F53E6B" w:rsidP="00F53E6B">
            <w:pPr>
              <w:rPr>
                <w:b w:val="0"/>
                <w:bCs w:val="0"/>
                <w:lang w:val="es-CU"/>
              </w:rPr>
            </w:pPr>
            <w:r w:rsidRPr="00F53E6B">
              <w:rPr>
                <w:b w:val="0"/>
                <w:bCs w:val="0"/>
                <w:lang w:val="es-CU"/>
              </w:rPr>
              <w:t>Aprobación por la Comisión Científica y Comisión de Ética del Hospital.</w:t>
            </w:r>
          </w:p>
        </w:tc>
        <w:tc>
          <w:tcPr>
            <w:cnfStyle w:val="000010000000" w:firstRow="0" w:lastRow="0" w:firstColumn="0" w:lastColumn="0" w:oddVBand="1" w:evenVBand="0" w:oddHBand="0" w:evenHBand="0" w:firstRowFirstColumn="0" w:firstRowLastColumn="0" w:lastRowFirstColumn="0" w:lastRowLastColumn="0"/>
            <w:tcW w:w="2835" w:type="dxa"/>
            <w:shd w:val="clear" w:color="auto" w:fill="FFFFFF" w:themeFill="background1"/>
          </w:tcPr>
          <w:p w14:paraId="3A1A8937" w14:textId="77F7827E" w:rsidR="00F53E6B" w:rsidRPr="00F53E6B" w:rsidRDefault="00612DD5" w:rsidP="00612DD5">
            <w:pPr>
              <w:jc w:val="center"/>
              <w:rPr>
                <w:lang w:val="es-CU"/>
              </w:rPr>
            </w:pPr>
            <w:r>
              <w:rPr>
                <w:lang w:val="es-CU"/>
              </w:rPr>
              <w:t>Octubre</w:t>
            </w:r>
            <w:r w:rsidR="00F53E6B" w:rsidRPr="00F53E6B">
              <w:rPr>
                <w:lang w:val="es-CU"/>
              </w:rPr>
              <w:t xml:space="preserve"> 2024</w:t>
            </w:r>
          </w:p>
        </w:tc>
        <w:tc>
          <w:tcPr>
            <w:cnfStyle w:val="000100000000" w:firstRow="0" w:lastRow="0" w:firstColumn="0" w:lastColumn="1" w:oddVBand="0" w:evenVBand="0" w:oddHBand="0" w:evenHBand="0" w:firstRowFirstColumn="0" w:firstRowLastColumn="0" w:lastRowFirstColumn="0" w:lastRowLastColumn="0"/>
            <w:tcW w:w="2894" w:type="dxa"/>
            <w:shd w:val="clear" w:color="auto" w:fill="FFFFFF" w:themeFill="background1"/>
          </w:tcPr>
          <w:p w14:paraId="270EE118" w14:textId="7B5BB249" w:rsidR="00F53E6B" w:rsidRPr="00F53E6B" w:rsidRDefault="00612DD5" w:rsidP="00612DD5">
            <w:pPr>
              <w:jc w:val="center"/>
              <w:rPr>
                <w:b w:val="0"/>
                <w:bCs w:val="0"/>
                <w:lang w:val="es-CU"/>
              </w:rPr>
            </w:pPr>
            <w:r>
              <w:rPr>
                <w:b w:val="0"/>
                <w:bCs w:val="0"/>
                <w:lang w:val="es-CU"/>
              </w:rPr>
              <w:t xml:space="preserve">Octubre </w:t>
            </w:r>
            <w:r w:rsidR="00F53E6B" w:rsidRPr="00F53E6B">
              <w:rPr>
                <w:b w:val="0"/>
                <w:bCs w:val="0"/>
                <w:lang w:val="es-CU"/>
              </w:rPr>
              <w:t>2024</w:t>
            </w:r>
          </w:p>
        </w:tc>
      </w:tr>
      <w:tr w:rsidR="00F53E6B" w:rsidRPr="00F53E6B" w14:paraId="79814D4C" w14:textId="77777777" w:rsidTr="00F53E6B">
        <w:trPr>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FFFFFF" w:themeFill="background1"/>
          </w:tcPr>
          <w:p w14:paraId="61E28B86" w14:textId="77777777" w:rsidR="00F53E6B" w:rsidRPr="00F53E6B" w:rsidRDefault="00F53E6B" w:rsidP="00F53E6B">
            <w:pPr>
              <w:rPr>
                <w:b w:val="0"/>
                <w:bCs w:val="0"/>
                <w:lang w:val="es-CU"/>
              </w:rPr>
            </w:pPr>
            <w:r w:rsidRPr="00F53E6B">
              <w:rPr>
                <w:b w:val="0"/>
                <w:bCs w:val="0"/>
                <w:lang w:val="es-CU"/>
              </w:rPr>
              <w:t>Reproducir Modelo de Recolección de Datos</w:t>
            </w:r>
          </w:p>
        </w:tc>
        <w:tc>
          <w:tcPr>
            <w:cnfStyle w:val="000010000000" w:firstRow="0" w:lastRow="0" w:firstColumn="0" w:lastColumn="0" w:oddVBand="1" w:evenVBand="0" w:oddHBand="0" w:evenHBand="0" w:firstRowFirstColumn="0" w:firstRowLastColumn="0" w:lastRowFirstColumn="0" w:lastRowLastColumn="0"/>
            <w:tcW w:w="2835" w:type="dxa"/>
            <w:shd w:val="clear" w:color="auto" w:fill="FFFFFF" w:themeFill="background1"/>
          </w:tcPr>
          <w:p w14:paraId="4B0F7743" w14:textId="6D560100" w:rsidR="00F53E6B" w:rsidRPr="00F53E6B" w:rsidRDefault="00612DD5" w:rsidP="00612DD5">
            <w:pPr>
              <w:jc w:val="center"/>
              <w:rPr>
                <w:lang w:val="es-CU"/>
              </w:rPr>
            </w:pPr>
            <w:r>
              <w:rPr>
                <w:lang w:val="es-CU"/>
              </w:rPr>
              <w:t xml:space="preserve">Noviembre </w:t>
            </w:r>
            <w:r w:rsidR="00F53E6B" w:rsidRPr="00F53E6B">
              <w:rPr>
                <w:lang w:val="es-CU"/>
              </w:rPr>
              <w:t>2024</w:t>
            </w:r>
          </w:p>
        </w:tc>
        <w:tc>
          <w:tcPr>
            <w:cnfStyle w:val="000100000000" w:firstRow="0" w:lastRow="0" w:firstColumn="0" w:lastColumn="1" w:oddVBand="0" w:evenVBand="0" w:oddHBand="0" w:evenHBand="0" w:firstRowFirstColumn="0" w:firstRowLastColumn="0" w:lastRowFirstColumn="0" w:lastRowLastColumn="0"/>
            <w:tcW w:w="2894" w:type="dxa"/>
            <w:shd w:val="clear" w:color="auto" w:fill="FFFFFF" w:themeFill="background1"/>
          </w:tcPr>
          <w:p w14:paraId="2B5F13A4" w14:textId="07D38D3E" w:rsidR="00F53E6B" w:rsidRPr="00F53E6B" w:rsidRDefault="00612DD5" w:rsidP="00612DD5">
            <w:pPr>
              <w:jc w:val="center"/>
              <w:rPr>
                <w:b w:val="0"/>
                <w:bCs w:val="0"/>
                <w:lang w:val="es-CU"/>
              </w:rPr>
            </w:pPr>
            <w:r>
              <w:rPr>
                <w:b w:val="0"/>
                <w:bCs w:val="0"/>
                <w:lang w:val="es-CU"/>
              </w:rPr>
              <w:t>Noviembre</w:t>
            </w:r>
            <w:r w:rsidR="00F53E6B" w:rsidRPr="00F53E6B">
              <w:rPr>
                <w:b w:val="0"/>
                <w:bCs w:val="0"/>
                <w:lang w:val="es-CU"/>
              </w:rPr>
              <w:t xml:space="preserve"> 2024</w:t>
            </w:r>
          </w:p>
        </w:tc>
      </w:tr>
      <w:tr w:rsidR="00F53E6B" w:rsidRPr="00F53E6B" w14:paraId="1F5AA4C3" w14:textId="77777777" w:rsidTr="00F53E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FFFFFF" w:themeFill="background1"/>
          </w:tcPr>
          <w:p w14:paraId="707F4AD4" w14:textId="77777777" w:rsidR="00F53E6B" w:rsidRPr="00F53E6B" w:rsidRDefault="00F53E6B" w:rsidP="00F53E6B">
            <w:pPr>
              <w:rPr>
                <w:b w:val="0"/>
                <w:bCs w:val="0"/>
                <w:lang w:val="es-CU"/>
              </w:rPr>
            </w:pPr>
            <w:r w:rsidRPr="00F53E6B">
              <w:rPr>
                <w:b w:val="0"/>
                <w:bCs w:val="0"/>
                <w:lang w:val="es-CU"/>
              </w:rPr>
              <w:t>Recolección de la información</w:t>
            </w:r>
          </w:p>
        </w:tc>
        <w:tc>
          <w:tcPr>
            <w:cnfStyle w:val="000010000000" w:firstRow="0" w:lastRow="0" w:firstColumn="0" w:lastColumn="0" w:oddVBand="1" w:evenVBand="0" w:oddHBand="0" w:evenHBand="0" w:firstRowFirstColumn="0" w:firstRowLastColumn="0" w:lastRowFirstColumn="0" w:lastRowLastColumn="0"/>
            <w:tcW w:w="2835" w:type="dxa"/>
            <w:shd w:val="clear" w:color="auto" w:fill="FFFFFF" w:themeFill="background1"/>
          </w:tcPr>
          <w:p w14:paraId="5E668859" w14:textId="17714621" w:rsidR="00F53E6B" w:rsidRPr="00F53E6B" w:rsidRDefault="00612DD5" w:rsidP="00612DD5">
            <w:pPr>
              <w:jc w:val="center"/>
              <w:rPr>
                <w:lang w:val="es-CU"/>
              </w:rPr>
            </w:pPr>
            <w:r>
              <w:rPr>
                <w:lang w:val="es-CU"/>
              </w:rPr>
              <w:t>Dici</w:t>
            </w:r>
            <w:r w:rsidR="00F53E6B" w:rsidRPr="00F53E6B">
              <w:rPr>
                <w:lang w:val="es-CU"/>
              </w:rPr>
              <w:t>embre 2024</w:t>
            </w:r>
          </w:p>
        </w:tc>
        <w:tc>
          <w:tcPr>
            <w:cnfStyle w:val="000100000000" w:firstRow="0" w:lastRow="0" w:firstColumn="0" w:lastColumn="1" w:oddVBand="0" w:evenVBand="0" w:oddHBand="0" w:evenHBand="0" w:firstRowFirstColumn="0" w:firstRowLastColumn="0" w:lastRowFirstColumn="0" w:lastRowLastColumn="0"/>
            <w:tcW w:w="2894" w:type="dxa"/>
            <w:shd w:val="clear" w:color="auto" w:fill="FFFFFF" w:themeFill="background1"/>
          </w:tcPr>
          <w:p w14:paraId="1E899660" w14:textId="59DE2B29" w:rsidR="00F53E6B" w:rsidRPr="00F53E6B" w:rsidRDefault="00612DD5" w:rsidP="00612DD5">
            <w:pPr>
              <w:jc w:val="center"/>
              <w:rPr>
                <w:b w:val="0"/>
                <w:bCs w:val="0"/>
                <w:lang w:val="es-CU"/>
              </w:rPr>
            </w:pPr>
            <w:r>
              <w:rPr>
                <w:b w:val="0"/>
                <w:bCs w:val="0"/>
                <w:lang w:val="es-CU"/>
              </w:rPr>
              <w:t>Septiembre</w:t>
            </w:r>
            <w:r w:rsidR="00F53E6B" w:rsidRPr="00F53E6B">
              <w:rPr>
                <w:b w:val="0"/>
                <w:bCs w:val="0"/>
                <w:lang w:val="es-CU"/>
              </w:rPr>
              <w:t xml:space="preserve"> 2025</w:t>
            </w:r>
          </w:p>
        </w:tc>
      </w:tr>
      <w:tr w:rsidR="00F53E6B" w:rsidRPr="00F53E6B" w14:paraId="7ECFDFFB" w14:textId="77777777" w:rsidTr="00F53E6B">
        <w:trPr>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FFFFFF" w:themeFill="background1"/>
          </w:tcPr>
          <w:p w14:paraId="736F960B" w14:textId="77777777" w:rsidR="00F53E6B" w:rsidRPr="00F53E6B" w:rsidRDefault="00F53E6B" w:rsidP="00F53E6B">
            <w:pPr>
              <w:rPr>
                <w:b w:val="0"/>
                <w:bCs w:val="0"/>
                <w:lang w:val="es-CU"/>
              </w:rPr>
            </w:pPr>
            <w:r w:rsidRPr="00F53E6B">
              <w:rPr>
                <w:b w:val="0"/>
                <w:bCs w:val="0"/>
                <w:lang w:val="es-CU"/>
              </w:rPr>
              <w:t xml:space="preserve">Llenado de la base de datos                       </w:t>
            </w:r>
          </w:p>
        </w:tc>
        <w:tc>
          <w:tcPr>
            <w:cnfStyle w:val="000010000000" w:firstRow="0" w:lastRow="0" w:firstColumn="0" w:lastColumn="0" w:oddVBand="1" w:evenVBand="0" w:oddHBand="0" w:evenHBand="0" w:firstRowFirstColumn="0" w:firstRowLastColumn="0" w:lastRowFirstColumn="0" w:lastRowLastColumn="0"/>
            <w:tcW w:w="2835" w:type="dxa"/>
            <w:shd w:val="clear" w:color="auto" w:fill="FFFFFF" w:themeFill="background1"/>
          </w:tcPr>
          <w:p w14:paraId="1ADC0F99" w14:textId="6F9C0D78" w:rsidR="00F53E6B" w:rsidRPr="00F53E6B" w:rsidRDefault="00F53E6B" w:rsidP="00612DD5">
            <w:pPr>
              <w:jc w:val="center"/>
              <w:rPr>
                <w:lang w:val="es-CU"/>
              </w:rPr>
            </w:pPr>
            <w:r w:rsidRPr="00F53E6B">
              <w:rPr>
                <w:lang w:val="es-CU"/>
              </w:rPr>
              <w:t>Octubre 2025</w:t>
            </w:r>
          </w:p>
        </w:tc>
        <w:tc>
          <w:tcPr>
            <w:cnfStyle w:val="000100000000" w:firstRow="0" w:lastRow="0" w:firstColumn="0" w:lastColumn="1" w:oddVBand="0" w:evenVBand="0" w:oddHBand="0" w:evenHBand="0" w:firstRowFirstColumn="0" w:firstRowLastColumn="0" w:lastRowFirstColumn="0" w:lastRowLastColumn="0"/>
            <w:tcW w:w="2894" w:type="dxa"/>
            <w:shd w:val="clear" w:color="auto" w:fill="FFFFFF" w:themeFill="background1"/>
          </w:tcPr>
          <w:p w14:paraId="074F0DC5" w14:textId="3B2AA11B" w:rsidR="00F53E6B" w:rsidRPr="00F53E6B" w:rsidRDefault="00F53E6B" w:rsidP="00612DD5">
            <w:pPr>
              <w:jc w:val="center"/>
              <w:rPr>
                <w:b w:val="0"/>
                <w:bCs w:val="0"/>
                <w:lang w:val="es-CU"/>
              </w:rPr>
            </w:pPr>
            <w:r w:rsidRPr="00F53E6B">
              <w:rPr>
                <w:b w:val="0"/>
                <w:bCs w:val="0"/>
                <w:lang w:val="es-CU"/>
              </w:rPr>
              <w:t>Octubre 2025</w:t>
            </w:r>
          </w:p>
        </w:tc>
      </w:tr>
      <w:tr w:rsidR="00F53E6B" w:rsidRPr="00F53E6B" w14:paraId="523700A4" w14:textId="77777777" w:rsidTr="00F53E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FFFFFF" w:themeFill="background1"/>
          </w:tcPr>
          <w:p w14:paraId="07D0A0D7" w14:textId="77777777" w:rsidR="00F53E6B" w:rsidRPr="00F53E6B" w:rsidRDefault="00F53E6B" w:rsidP="00F53E6B">
            <w:pPr>
              <w:rPr>
                <w:b w:val="0"/>
                <w:bCs w:val="0"/>
                <w:lang w:val="es-CU"/>
              </w:rPr>
            </w:pPr>
            <w:r w:rsidRPr="00F53E6B">
              <w:rPr>
                <w:b w:val="0"/>
                <w:bCs w:val="0"/>
                <w:lang w:val="es-CU"/>
              </w:rPr>
              <w:t>Procesamiento de los datos</w:t>
            </w:r>
          </w:p>
        </w:tc>
        <w:tc>
          <w:tcPr>
            <w:cnfStyle w:val="000010000000" w:firstRow="0" w:lastRow="0" w:firstColumn="0" w:lastColumn="0" w:oddVBand="1" w:evenVBand="0" w:oddHBand="0" w:evenHBand="0" w:firstRowFirstColumn="0" w:firstRowLastColumn="0" w:lastRowFirstColumn="0" w:lastRowLastColumn="0"/>
            <w:tcW w:w="2835" w:type="dxa"/>
            <w:shd w:val="clear" w:color="auto" w:fill="FFFFFF" w:themeFill="background1"/>
          </w:tcPr>
          <w:p w14:paraId="69B706EF" w14:textId="14869935" w:rsidR="00F53E6B" w:rsidRPr="00F53E6B" w:rsidRDefault="00F53E6B" w:rsidP="00612DD5">
            <w:pPr>
              <w:jc w:val="center"/>
              <w:rPr>
                <w:lang w:val="es-CU"/>
              </w:rPr>
            </w:pPr>
            <w:r w:rsidRPr="00F53E6B">
              <w:rPr>
                <w:lang w:val="es-CU"/>
              </w:rPr>
              <w:t>Noviembre 2025</w:t>
            </w:r>
          </w:p>
        </w:tc>
        <w:tc>
          <w:tcPr>
            <w:cnfStyle w:val="000100000000" w:firstRow="0" w:lastRow="0" w:firstColumn="0" w:lastColumn="1" w:oddVBand="0" w:evenVBand="0" w:oddHBand="0" w:evenHBand="0" w:firstRowFirstColumn="0" w:firstRowLastColumn="0" w:lastRowFirstColumn="0" w:lastRowLastColumn="0"/>
            <w:tcW w:w="2894" w:type="dxa"/>
            <w:shd w:val="clear" w:color="auto" w:fill="FFFFFF" w:themeFill="background1"/>
          </w:tcPr>
          <w:p w14:paraId="2D91ECD2" w14:textId="6D736126" w:rsidR="00F53E6B" w:rsidRPr="00F53E6B" w:rsidRDefault="00F53E6B" w:rsidP="00612DD5">
            <w:pPr>
              <w:jc w:val="center"/>
              <w:rPr>
                <w:b w:val="0"/>
                <w:bCs w:val="0"/>
                <w:lang w:val="es-CU"/>
              </w:rPr>
            </w:pPr>
            <w:r w:rsidRPr="00F53E6B">
              <w:rPr>
                <w:b w:val="0"/>
                <w:bCs w:val="0"/>
                <w:lang w:val="es-CU"/>
              </w:rPr>
              <w:t>Noviembre 2025</w:t>
            </w:r>
          </w:p>
        </w:tc>
      </w:tr>
      <w:tr w:rsidR="00F53E6B" w:rsidRPr="00F53E6B" w14:paraId="297EB039" w14:textId="77777777" w:rsidTr="00F53E6B">
        <w:trPr>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FFFFFF" w:themeFill="background1"/>
          </w:tcPr>
          <w:p w14:paraId="232070F1" w14:textId="77777777" w:rsidR="00F53E6B" w:rsidRPr="00F53E6B" w:rsidRDefault="00F53E6B" w:rsidP="00F53E6B">
            <w:pPr>
              <w:rPr>
                <w:b w:val="0"/>
                <w:bCs w:val="0"/>
                <w:lang w:val="es-CU"/>
              </w:rPr>
            </w:pPr>
            <w:r w:rsidRPr="00F53E6B">
              <w:rPr>
                <w:b w:val="0"/>
                <w:bCs w:val="0"/>
                <w:lang w:val="es-CU"/>
              </w:rPr>
              <w:t>Análisis de los datos</w:t>
            </w:r>
          </w:p>
        </w:tc>
        <w:tc>
          <w:tcPr>
            <w:cnfStyle w:val="000010000000" w:firstRow="0" w:lastRow="0" w:firstColumn="0" w:lastColumn="0" w:oddVBand="1" w:evenVBand="0" w:oddHBand="0" w:evenHBand="0" w:firstRowFirstColumn="0" w:firstRowLastColumn="0" w:lastRowFirstColumn="0" w:lastRowLastColumn="0"/>
            <w:tcW w:w="2835" w:type="dxa"/>
            <w:shd w:val="clear" w:color="auto" w:fill="FFFFFF" w:themeFill="background1"/>
          </w:tcPr>
          <w:p w14:paraId="2E998D77" w14:textId="0AB04473" w:rsidR="00F53E6B" w:rsidRPr="00F53E6B" w:rsidRDefault="00F53E6B" w:rsidP="00612DD5">
            <w:pPr>
              <w:jc w:val="center"/>
              <w:rPr>
                <w:lang w:val="es-CU"/>
              </w:rPr>
            </w:pPr>
            <w:r w:rsidRPr="00F53E6B">
              <w:rPr>
                <w:lang w:val="es-CU"/>
              </w:rPr>
              <w:t>Diciembre 2025</w:t>
            </w:r>
          </w:p>
        </w:tc>
        <w:tc>
          <w:tcPr>
            <w:cnfStyle w:val="000100000000" w:firstRow="0" w:lastRow="0" w:firstColumn="0" w:lastColumn="1" w:oddVBand="0" w:evenVBand="0" w:oddHBand="0" w:evenHBand="0" w:firstRowFirstColumn="0" w:firstRowLastColumn="0" w:lastRowFirstColumn="0" w:lastRowLastColumn="0"/>
            <w:tcW w:w="2894" w:type="dxa"/>
            <w:shd w:val="clear" w:color="auto" w:fill="FFFFFF" w:themeFill="background1"/>
          </w:tcPr>
          <w:p w14:paraId="53D4E5BF" w14:textId="7E62CE8F" w:rsidR="00F53E6B" w:rsidRPr="00F53E6B" w:rsidRDefault="00F53E6B" w:rsidP="00612DD5">
            <w:pPr>
              <w:jc w:val="center"/>
              <w:rPr>
                <w:b w:val="0"/>
                <w:bCs w:val="0"/>
                <w:lang w:val="es-CU"/>
              </w:rPr>
            </w:pPr>
            <w:r w:rsidRPr="00F53E6B">
              <w:rPr>
                <w:b w:val="0"/>
                <w:bCs w:val="0"/>
                <w:lang w:val="es-CU"/>
              </w:rPr>
              <w:t>Diciembre 2025</w:t>
            </w:r>
          </w:p>
        </w:tc>
      </w:tr>
      <w:tr w:rsidR="00F53E6B" w:rsidRPr="00F53E6B" w14:paraId="5DC0CB70" w14:textId="77777777" w:rsidTr="00F53E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FFFFFF" w:themeFill="background1"/>
          </w:tcPr>
          <w:p w14:paraId="7C3B3A65" w14:textId="77777777" w:rsidR="00F53E6B" w:rsidRPr="00F53E6B" w:rsidRDefault="00F53E6B" w:rsidP="00F53E6B">
            <w:pPr>
              <w:rPr>
                <w:b w:val="0"/>
                <w:bCs w:val="0"/>
                <w:lang w:val="es-CU"/>
              </w:rPr>
            </w:pPr>
            <w:r w:rsidRPr="00F53E6B">
              <w:rPr>
                <w:b w:val="0"/>
                <w:bCs w:val="0"/>
                <w:lang w:val="es-CU"/>
              </w:rPr>
              <w:t>Elaboración del informe final</w:t>
            </w:r>
          </w:p>
        </w:tc>
        <w:tc>
          <w:tcPr>
            <w:cnfStyle w:val="000010000000" w:firstRow="0" w:lastRow="0" w:firstColumn="0" w:lastColumn="0" w:oddVBand="1" w:evenVBand="0" w:oddHBand="0" w:evenHBand="0" w:firstRowFirstColumn="0" w:firstRowLastColumn="0" w:lastRowFirstColumn="0" w:lastRowLastColumn="0"/>
            <w:tcW w:w="2835" w:type="dxa"/>
            <w:shd w:val="clear" w:color="auto" w:fill="FFFFFF" w:themeFill="background1"/>
          </w:tcPr>
          <w:p w14:paraId="073C1DAB" w14:textId="273E9A1D" w:rsidR="00F53E6B" w:rsidRPr="00F53E6B" w:rsidRDefault="00F53E6B" w:rsidP="00612DD5">
            <w:pPr>
              <w:jc w:val="center"/>
              <w:rPr>
                <w:lang w:val="es-CU"/>
              </w:rPr>
            </w:pPr>
            <w:r w:rsidRPr="00F53E6B">
              <w:rPr>
                <w:lang w:val="es-CU"/>
              </w:rPr>
              <w:t>Enero 2026</w:t>
            </w:r>
          </w:p>
        </w:tc>
        <w:tc>
          <w:tcPr>
            <w:cnfStyle w:val="000100000000" w:firstRow="0" w:lastRow="0" w:firstColumn="0" w:lastColumn="1" w:oddVBand="0" w:evenVBand="0" w:oddHBand="0" w:evenHBand="0" w:firstRowFirstColumn="0" w:firstRowLastColumn="0" w:lastRowFirstColumn="0" w:lastRowLastColumn="0"/>
            <w:tcW w:w="2894" w:type="dxa"/>
            <w:shd w:val="clear" w:color="auto" w:fill="FFFFFF" w:themeFill="background1"/>
          </w:tcPr>
          <w:p w14:paraId="284AEF08" w14:textId="2F9B498C" w:rsidR="00F53E6B" w:rsidRPr="00F53E6B" w:rsidRDefault="00F53E6B" w:rsidP="00612DD5">
            <w:pPr>
              <w:jc w:val="center"/>
              <w:rPr>
                <w:b w:val="0"/>
                <w:bCs w:val="0"/>
                <w:lang w:val="es-CU"/>
              </w:rPr>
            </w:pPr>
            <w:r w:rsidRPr="00F53E6B">
              <w:rPr>
                <w:b w:val="0"/>
                <w:bCs w:val="0"/>
                <w:lang w:val="es-CU"/>
              </w:rPr>
              <w:t>Enero 2026</w:t>
            </w:r>
          </w:p>
        </w:tc>
      </w:tr>
      <w:tr w:rsidR="00F53E6B" w:rsidRPr="00F53E6B" w14:paraId="30B7A81E" w14:textId="77777777" w:rsidTr="0065429C">
        <w:trPr>
          <w:cnfStyle w:val="010000000000" w:firstRow="0" w:lastRow="1" w:firstColumn="0" w:lastColumn="0" w:oddVBand="0" w:evenVBand="0" w:oddHBand="0"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shd w:val="clear" w:color="auto" w:fill="FFFFFF" w:themeFill="background1"/>
          </w:tcPr>
          <w:p w14:paraId="4849771B" w14:textId="77777777" w:rsidR="00F53E6B" w:rsidRPr="00F53E6B" w:rsidRDefault="00F53E6B" w:rsidP="00F53E6B">
            <w:pPr>
              <w:rPr>
                <w:b w:val="0"/>
                <w:bCs w:val="0"/>
                <w:lang w:val="es-CU"/>
              </w:rPr>
            </w:pPr>
            <w:r w:rsidRPr="00F53E6B">
              <w:rPr>
                <w:b w:val="0"/>
                <w:bCs w:val="0"/>
                <w:lang w:val="es-CU"/>
              </w:rPr>
              <w:t xml:space="preserve">Entrega de Informe final                        </w:t>
            </w:r>
          </w:p>
        </w:tc>
        <w:tc>
          <w:tcPr>
            <w:cnfStyle w:val="000010000000" w:firstRow="0" w:lastRow="0" w:firstColumn="0" w:lastColumn="0" w:oddVBand="1" w:evenVBand="0" w:oddHBand="0" w:evenHBand="0" w:firstRowFirstColumn="0" w:firstRowLastColumn="0" w:lastRowFirstColumn="0" w:lastRowLastColumn="0"/>
            <w:tcW w:w="2835" w:type="dxa"/>
            <w:tcBorders>
              <w:bottom w:val="single" w:sz="4" w:space="0" w:color="auto"/>
            </w:tcBorders>
            <w:shd w:val="clear" w:color="auto" w:fill="FFFFFF" w:themeFill="background1"/>
          </w:tcPr>
          <w:p w14:paraId="456B2478" w14:textId="27AB1611" w:rsidR="00F53E6B" w:rsidRPr="00F53E6B" w:rsidRDefault="00F53E6B" w:rsidP="00612DD5">
            <w:pPr>
              <w:jc w:val="center"/>
              <w:rPr>
                <w:b w:val="0"/>
                <w:bCs w:val="0"/>
                <w:lang w:val="es-CU"/>
              </w:rPr>
            </w:pPr>
            <w:r w:rsidRPr="00F53E6B">
              <w:rPr>
                <w:b w:val="0"/>
                <w:bCs w:val="0"/>
                <w:lang w:val="es-CU"/>
              </w:rPr>
              <w:t>Febrero 2026</w:t>
            </w:r>
          </w:p>
        </w:tc>
        <w:tc>
          <w:tcPr>
            <w:cnfStyle w:val="000100000000" w:firstRow="0" w:lastRow="0" w:firstColumn="0" w:lastColumn="1" w:oddVBand="0" w:evenVBand="0" w:oddHBand="0" w:evenHBand="0" w:firstRowFirstColumn="0" w:firstRowLastColumn="0" w:lastRowFirstColumn="0" w:lastRowLastColumn="0"/>
            <w:tcW w:w="2894" w:type="dxa"/>
            <w:tcBorders>
              <w:bottom w:val="single" w:sz="4" w:space="0" w:color="auto"/>
            </w:tcBorders>
            <w:shd w:val="clear" w:color="auto" w:fill="FFFFFF" w:themeFill="background1"/>
          </w:tcPr>
          <w:p w14:paraId="3BCC892F" w14:textId="223A79CB" w:rsidR="00F53E6B" w:rsidRPr="00F53E6B" w:rsidRDefault="00F53E6B" w:rsidP="0065429C">
            <w:pPr>
              <w:jc w:val="center"/>
              <w:rPr>
                <w:b w:val="0"/>
                <w:bCs w:val="0"/>
                <w:lang w:val="es-CU"/>
              </w:rPr>
            </w:pPr>
            <w:r w:rsidRPr="00F53E6B">
              <w:rPr>
                <w:b w:val="0"/>
                <w:bCs w:val="0"/>
                <w:lang w:val="es-CU"/>
              </w:rPr>
              <w:t>Febrero 2026</w:t>
            </w:r>
          </w:p>
        </w:tc>
      </w:tr>
    </w:tbl>
    <w:p w14:paraId="18D530C0" w14:textId="77777777" w:rsidR="003350EC" w:rsidRDefault="003350EC" w:rsidP="000C73FA"/>
    <w:p w14:paraId="38DA3E1F" w14:textId="77777777" w:rsidR="00612DD5" w:rsidRPr="00470588" w:rsidRDefault="00612DD5" w:rsidP="000C73FA"/>
    <w:p w14:paraId="2645598D" w14:textId="77777777" w:rsidR="00470588" w:rsidRPr="00612DD5" w:rsidRDefault="00470588" w:rsidP="00612DD5">
      <w:pPr>
        <w:pStyle w:val="Heading2"/>
        <w:rPr>
          <w:rFonts w:ascii="Arial" w:eastAsia="Calibri" w:hAnsi="Arial" w:cs="Arial"/>
          <w:b/>
          <w:bCs/>
          <w:color w:val="auto"/>
          <w:sz w:val="24"/>
          <w:szCs w:val="24"/>
          <w:lang w:val="es-ES"/>
        </w:rPr>
      </w:pPr>
      <w:bookmarkStart w:id="86" w:name="_Toc178713990"/>
      <w:r w:rsidRPr="00612DD5">
        <w:rPr>
          <w:rFonts w:ascii="Arial" w:eastAsia="Calibri" w:hAnsi="Arial" w:cs="Arial"/>
          <w:b/>
          <w:bCs/>
          <w:color w:val="auto"/>
          <w:sz w:val="24"/>
          <w:szCs w:val="24"/>
          <w:lang w:val="es-ES"/>
        </w:rPr>
        <w:t>Recursos a utilizar</w:t>
      </w:r>
      <w:bookmarkEnd w:id="86"/>
    </w:p>
    <w:p w14:paraId="4D894ECA" w14:textId="77777777" w:rsidR="00470588" w:rsidRPr="00470588" w:rsidRDefault="00470588" w:rsidP="00470588">
      <w:pPr>
        <w:spacing w:before="120" w:line="240" w:lineRule="auto"/>
        <w:rPr>
          <w:rFonts w:eastAsia="Calibri"/>
          <w:bCs/>
          <w:i/>
          <w:iCs/>
          <w:color w:val="212121"/>
          <w:kern w:val="2"/>
          <w:lang w:val="en-US"/>
          <w14:ligatures w14:val="standardContextual"/>
        </w:rPr>
      </w:pPr>
      <w:r w:rsidRPr="00470588">
        <w:rPr>
          <w:rFonts w:eastAsia="Calibri"/>
          <w:bCs/>
          <w:i/>
          <w:iCs/>
          <w:color w:val="212121"/>
          <w:kern w:val="2"/>
          <w:lang w:val="en-US"/>
          <w14:ligatures w14:val="standardContextual"/>
        </w:rPr>
        <w:t>Humanos</w:t>
      </w:r>
    </w:p>
    <w:tbl>
      <w:tblPr>
        <w:tblStyle w:val="PlainTable41"/>
        <w:tblW w:w="0" w:type="auto"/>
        <w:jc w:val="center"/>
        <w:shd w:val="clear" w:color="auto" w:fill="FFFFFF" w:themeFill="background1"/>
        <w:tblLook w:val="00A0" w:firstRow="1" w:lastRow="0" w:firstColumn="1" w:lastColumn="0" w:noHBand="0" w:noVBand="0"/>
      </w:tblPr>
      <w:tblGrid>
        <w:gridCol w:w="2559"/>
        <w:gridCol w:w="1969"/>
        <w:gridCol w:w="1699"/>
        <w:gridCol w:w="2277"/>
      </w:tblGrid>
      <w:tr w:rsidR="00470588" w:rsidRPr="00470588" w14:paraId="285C6269" w14:textId="77777777" w:rsidTr="009414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9" w:type="dxa"/>
            <w:shd w:val="clear" w:color="auto" w:fill="DEEAF6" w:themeFill="accent5" w:themeFillTint="33"/>
          </w:tcPr>
          <w:p w14:paraId="27A069AF" w14:textId="77777777" w:rsidR="00470588" w:rsidRPr="00470588" w:rsidRDefault="00470588" w:rsidP="00470588">
            <w:pPr>
              <w:jc w:val="center"/>
              <w:rPr>
                <w:rFonts w:eastAsia="Times New Roman"/>
                <w:lang w:val="es-ES"/>
              </w:rPr>
            </w:pPr>
            <w:r w:rsidRPr="00470588">
              <w:rPr>
                <w:rFonts w:eastAsia="Times New Roman"/>
                <w:lang w:val="es-ES"/>
              </w:rPr>
              <w:t>Nombres y Apellidos</w:t>
            </w:r>
          </w:p>
        </w:tc>
        <w:tc>
          <w:tcPr>
            <w:cnfStyle w:val="000010000000" w:firstRow="0" w:lastRow="0" w:firstColumn="0" w:lastColumn="0" w:oddVBand="1" w:evenVBand="0" w:oddHBand="0" w:evenHBand="0" w:firstRowFirstColumn="0" w:firstRowLastColumn="0" w:lastRowFirstColumn="0" w:lastRowLastColumn="0"/>
            <w:tcW w:w="1969" w:type="dxa"/>
            <w:shd w:val="clear" w:color="auto" w:fill="DEEAF6" w:themeFill="accent5" w:themeFillTint="33"/>
          </w:tcPr>
          <w:p w14:paraId="5003314B" w14:textId="77777777" w:rsidR="00470588" w:rsidRPr="00470588" w:rsidRDefault="00470588" w:rsidP="00470588">
            <w:pPr>
              <w:jc w:val="center"/>
              <w:rPr>
                <w:rFonts w:eastAsia="Times New Roman"/>
                <w:lang w:val="es-ES"/>
              </w:rPr>
            </w:pPr>
            <w:r w:rsidRPr="00470588">
              <w:rPr>
                <w:rFonts w:eastAsia="Times New Roman"/>
                <w:lang w:val="es-ES"/>
              </w:rPr>
              <w:t>Grado Científico</w:t>
            </w:r>
          </w:p>
        </w:tc>
        <w:tc>
          <w:tcPr>
            <w:tcW w:w="1699" w:type="dxa"/>
            <w:shd w:val="clear" w:color="auto" w:fill="DEEAF6" w:themeFill="accent5" w:themeFillTint="33"/>
          </w:tcPr>
          <w:p w14:paraId="2586F878" w14:textId="77777777" w:rsidR="00470588" w:rsidRPr="00470588" w:rsidRDefault="00470588" w:rsidP="00470588">
            <w:pPr>
              <w:jc w:val="center"/>
              <w:cnfStyle w:val="100000000000" w:firstRow="1" w:lastRow="0" w:firstColumn="0" w:lastColumn="0" w:oddVBand="0" w:evenVBand="0" w:oddHBand="0" w:evenHBand="0" w:firstRowFirstColumn="0" w:firstRowLastColumn="0" w:lastRowFirstColumn="0" w:lastRowLastColumn="0"/>
              <w:rPr>
                <w:rFonts w:eastAsia="Times New Roman"/>
                <w:lang w:val="es-ES"/>
              </w:rPr>
            </w:pPr>
            <w:r w:rsidRPr="00470588">
              <w:rPr>
                <w:rFonts w:eastAsia="Times New Roman"/>
                <w:lang w:val="es-ES"/>
              </w:rPr>
              <w:t>Categoría docente</w:t>
            </w:r>
          </w:p>
        </w:tc>
        <w:tc>
          <w:tcPr>
            <w:cnfStyle w:val="000010000000" w:firstRow="0" w:lastRow="0" w:firstColumn="0" w:lastColumn="0" w:oddVBand="1" w:evenVBand="0" w:oddHBand="0" w:evenHBand="0" w:firstRowFirstColumn="0" w:firstRowLastColumn="0" w:lastRowFirstColumn="0" w:lastRowLastColumn="0"/>
            <w:tcW w:w="2277" w:type="dxa"/>
            <w:shd w:val="clear" w:color="auto" w:fill="DEEAF6" w:themeFill="accent5" w:themeFillTint="33"/>
          </w:tcPr>
          <w:p w14:paraId="45F6CE7D" w14:textId="77777777" w:rsidR="00470588" w:rsidRPr="00470588" w:rsidRDefault="00470588" w:rsidP="00470588">
            <w:pPr>
              <w:jc w:val="center"/>
              <w:rPr>
                <w:rFonts w:eastAsia="Times New Roman"/>
                <w:lang w:val="es-ES"/>
              </w:rPr>
            </w:pPr>
            <w:r w:rsidRPr="00470588">
              <w:rPr>
                <w:rFonts w:eastAsia="Times New Roman"/>
                <w:lang w:val="es-ES"/>
              </w:rPr>
              <w:t>Institución donde trabaja</w:t>
            </w:r>
          </w:p>
        </w:tc>
      </w:tr>
      <w:tr w:rsidR="00470588" w:rsidRPr="00470588" w14:paraId="4E51D22F" w14:textId="77777777" w:rsidTr="00941475">
        <w:trPr>
          <w:cnfStyle w:val="000000100000" w:firstRow="0" w:lastRow="0" w:firstColumn="0" w:lastColumn="0" w:oddVBand="0" w:evenVBand="0" w:oddHBand="1" w:evenHBand="0" w:firstRowFirstColumn="0" w:firstRowLastColumn="0" w:lastRowFirstColumn="0" w:lastRowLastColumn="0"/>
          <w:trHeight w:val="1214"/>
          <w:jc w:val="center"/>
        </w:trPr>
        <w:tc>
          <w:tcPr>
            <w:cnfStyle w:val="001000000000" w:firstRow="0" w:lastRow="0" w:firstColumn="1" w:lastColumn="0" w:oddVBand="0" w:evenVBand="0" w:oddHBand="0" w:evenHBand="0" w:firstRowFirstColumn="0" w:firstRowLastColumn="0" w:lastRowFirstColumn="0" w:lastRowLastColumn="0"/>
            <w:tcW w:w="2559" w:type="dxa"/>
            <w:shd w:val="clear" w:color="auto" w:fill="FFFFFF" w:themeFill="background1"/>
          </w:tcPr>
          <w:p w14:paraId="7B38172E" w14:textId="1324681A" w:rsidR="00470588" w:rsidRPr="00470588" w:rsidRDefault="00470588" w:rsidP="00470588">
            <w:pPr>
              <w:jc w:val="center"/>
              <w:rPr>
                <w:rFonts w:eastAsia="Times New Roman"/>
                <w:lang w:val="es-CU"/>
              </w:rPr>
            </w:pPr>
            <w:r w:rsidRPr="00470588">
              <w:rPr>
                <w:rFonts w:eastAsia="Calibri"/>
                <w:b w:val="0"/>
                <w:bCs w:val="0"/>
                <w:color w:val="auto"/>
                <w:kern w:val="0"/>
                <w:lang w:val="es-ES"/>
                <w14:ligatures w14:val="none"/>
              </w:rPr>
              <w:t xml:space="preserve">Hansel González Álvarez  </w:t>
            </w:r>
          </w:p>
        </w:tc>
        <w:tc>
          <w:tcPr>
            <w:cnfStyle w:val="000010000000" w:firstRow="0" w:lastRow="0" w:firstColumn="0" w:lastColumn="0" w:oddVBand="1" w:evenVBand="0" w:oddHBand="0" w:evenHBand="0" w:firstRowFirstColumn="0" w:firstRowLastColumn="0" w:lastRowFirstColumn="0" w:lastRowLastColumn="0"/>
            <w:tcW w:w="1969" w:type="dxa"/>
            <w:shd w:val="clear" w:color="auto" w:fill="FFFFFF" w:themeFill="background1"/>
          </w:tcPr>
          <w:p w14:paraId="31DE3307" w14:textId="6F611266" w:rsidR="00470588" w:rsidRPr="00470588" w:rsidRDefault="00470588" w:rsidP="00470588">
            <w:pPr>
              <w:jc w:val="center"/>
              <w:rPr>
                <w:rFonts w:eastAsia="Times New Roman"/>
                <w:lang w:val="es-ES"/>
              </w:rPr>
            </w:pPr>
          </w:p>
        </w:tc>
        <w:tc>
          <w:tcPr>
            <w:tcW w:w="1699" w:type="dxa"/>
            <w:shd w:val="clear" w:color="auto" w:fill="FFFFFF" w:themeFill="background1"/>
          </w:tcPr>
          <w:p w14:paraId="34585C00" w14:textId="77777777" w:rsidR="00470588" w:rsidRPr="00470588" w:rsidRDefault="00470588" w:rsidP="00470588">
            <w:pPr>
              <w:jc w:val="center"/>
              <w:cnfStyle w:val="000000100000" w:firstRow="0" w:lastRow="0" w:firstColumn="0" w:lastColumn="0" w:oddVBand="0" w:evenVBand="0" w:oddHBand="1" w:evenHBand="0" w:firstRowFirstColumn="0" w:firstRowLastColumn="0" w:lastRowFirstColumn="0" w:lastRowLastColumn="0"/>
              <w:rPr>
                <w:rFonts w:eastAsia="Times New Roman"/>
                <w:lang w:val="es-CU"/>
              </w:rPr>
            </w:pPr>
          </w:p>
        </w:tc>
        <w:tc>
          <w:tcPr>
            <w:cnfStyle w:val="000010000000" w:firstRow="0" w:lastRow="0" w:firstColumn="0" w:lastColumn="0" w:oddVBand="1" w:evenVBand="0" w:oddHBand="0" w:evenHBand="0" w:firstRowFirstColumn="0" w:firstRowLastColumn="0" w:lastRowFirstColumn="0" w:lastRowLastColumn="0"/>
            <w:tcW w:w="2277" w:type="dxa"/>
            <w:shd w:val="clear" w:color="auto" w:fill="FFFFFF" w:themeFill="background1"/>
          </w:tcPr>
          <w:p w14:paraId="3CCE3847" w14:textId="2B3DE5D8" w:rsidR="00470588" w:rsidRPr="00470588" w:rsidRDefault="00470588" w:rsidP="00470588">
            <w:pPr>
              <w:jc w:val="center"/>
              <w:rPr>
                <w:rFonts w:eastAsia="Times New Roman"/>
                <w:lang w:val="pt-PT"/>
              </w:rPr>
            </w:pPr>
            <w:r w:rsidRPr="00470588">
              <w:rPr>
                <w:rFonts w:eastAsia="Times New Roman"/>
                <w:lang w:val="pt-PT"/>
              </w:rPr>
              <w:t>Instituto Nacional de Angiología y Cirugía Vascular</w:t>
            </w:r>
          </w:p>
        </w:tc>
      </w:tr>
      <w:tr w:rsidR="00470588" w:rsidRPr="00470588" w14:paraId="4BC36E07" w14:textId="77777777" w:rsidTr="00941475">
        <w:trPr>
          <w:jc w:val="center"/>
        </w:trPr>
        <w:tc>
          <w:tcPr>
            <w:cnfStyle w:val="001000000000" w:firstRow="0" w:lastRow="0" w:firstColumn="1" w:lastColumn="0" w:oddVBand="0" w:evenVBand="0" w:oddHBand="0" w:evenHBand="0" w:firstRowFirstColumn="0" w:firstRowLastColumn="0" w:lastRowFirstColumn="0" w:lastRowLastColumn="0"/>
            <w:tcW w:w="2559" w:type="dxa"/>
            <w:shd w:val="clear" w:color="auto" w:fill="FFFFFF" w:themeFill="background1"/>
          </w:tcPr>
          <w:p w14:paraId="33F93F79" w14:textId="0ABC2F13" w:rsidR="00470588" w:rsidRPr="00470588" w:rsidRDefault="00470588" w:rsidP="00470588">
            <w:pPr>
              <w:jc w:val="center"/>
              <w:rPr>
                <w:rFonts w:eastAsia="Times New Roman"/>
                <w:lang w:val="es-CU"/>
              </w:rPr>
            </w:pPr>
            <w:r w:rsidRPr="00470588">
              <w:rPr>
                <w:rFonts w:eastAsia="Calibri"/>
                <w:b w:val="0"/>
                <w:bCs w:val="0"/>
                <w:color w:val="auto"/>
                <w:kern w:val="0"/>
                <w:lang w:val="en-US"/>
                <w14:ligatures w14:val="none"/>
              </w:rPr>
              <w:t>William O. Savigne Gutiérrez</w:t>
            </w:r>
          </w:p>
        </w:tc>
        <w:tc>
          <w:tcPr>
            <w:cnfStyle w:val="000010000000" w:firstRow="0" w:lastRow="0" w:firstColumn="0" w:lastColumn="0" w:oddVBand="1" w:evenVBand="0" w:oddHBand="0" w:evenHBand="0" w:firstRowFirstColumn="0" w:firstRowLastColumn="0" w:lastRowFirstColumn="0" w:lastRowLastColumn="0"/>
            <w:tcW w:w="1969" w:type="dxa"/>
            <w:shd w:val="clear" w:color="auto" w:fill="FFFFFF" w:themeFill="background1"/>
          </w:tcPr>
          <w:p w14:paraId="7C04DC18" w14:textId="09BEA782" w:rsidR="00470588" w:rsidRPr="00470588" w:rsidRDefault="00470588" w:rsidP="00470588">
            <w:pPr>
              <w:jc w:val="center"/>
              <w:rPr>
                <w:rFonts w:eastAsia="Times New Roman"/>
                <w:lang w:val="es-CU"/>
              </w:rPr>
            </w:pPr>
            <w:r w:rsidRPr="00470588">
              <w:rPr>
                <w:rFonts w:eastAsia="Times New Roman"/>
              </w:rPr>
              <w:t>Especialista en</w:t>
            </w:r>
            <w:r>
              <w:rPr>
                <w:rFonts w:eastAsia="Times New Roman"/>
              </w:rPr>
              <w:t xml:space="preserve"> 2do grado en</w:t>
            </w:r>
            <w:r w:rsidRPr="00470588">
              <w:rPr>
                <w:rFonts w:eastAsia="Times New Roman"/>
                <w:lang w:val="es-CU"/>
              </w:rPr>
              <w:t xml:space="preserve"> </w:t>
            </w:r>
            <w:r>
              <w:rPr>
                <w:rFonts w:eastAsia="Times New Roman"/>
                <w:lang w:val="es-CU"/>
              </w:rPr>
              <w:t>angiología y cirugía vascular</w:t>
            </w:r>
          </w:p>
        </w:tc>
        <w:tc>
          <w:tcPr>
            <w:tcW w:w="1699" w:type="dxa"/>
            <w:shd w:val="clear" w:color="auto" w:fill="FFFFFF" w:themeFill="background1"/>
          </w:tcPr>
          <w:p w14:paraId="6E1A08EE" w14:textId="77777777" w:rsidR="00470588" w:rsidRDefault="00470588" w:rsidP="00470588">
            <w:pPr>
              <w:jc w:val="center"/>
              <w:cnfStyle w:val="000000000000" w:firstRow="0" w:lastRow="0" w:firstColumn="0" w:lastColumn="0" w:oddVBand="0" w:evenVBand="0" w:oddHBand="0" w:evenHBand="0" w:firstRowFirstColumn="0" w:firstRowLastColumn="0" w:lastRowFirstColumn="0" w:lastRowLastColumn="0"/>
              <w:rPr>
                <w:rFonts w:eastAsia="Calibri"/>
              </w:rPr>
            </w:pPr>
            <w:r w:rsidRPr="006416CA">
              <w:rPr>
                <w:rFonts w:eastAsia="Calibri"/>
              </w:rPr>
              <w:t>Profesor e Investigador Auxiliar</w:t>
            </w:r>
          </w:p>
          <w:p w14:paraId="617C8E6F" w14:textId="4BC6BAC5" w:rsidR="00470588" w:rsidRPr="00470588" w:rsidRDefault="00470588" w:rsidP="00470588">
            <w:pPr>
              <w:jc w:val="center"/>
              <w:cnfStyle w:val="000000000000" w:firstRow="0" w:lastRow="0" w:firstColumn="0" w:lastColumn="0" w:oddVBand="0" w:evenVBand="0" w:oddHBand="0" w:evenHBand="0" w:firstRowFirstColumn="0" w:firstRowLastColumn="0" w:lastRowFirstColumn="0" w:lastRowLastColumn="0"/>
              <w:rPr>
                <w:rFonts w:eastAsia="Times New Roman"/>
                <w:lang w:val="en-US"/>
              </w:rPr>
            </w:pPr>
          </w:p>
        </w:tc>
        <w:tc>
          <w:tcPr>
            <w:cnfStyle w:val="000010000000" w:firstRow="0" w:lastRow="0" w:firstColumn="0" w:lastColumn="0" w:oddVBand="1" w:evenVBand="0" w:oddHBand="0" w:evenHBand="0" w:firstRowFirstColumn="0" w:firstRowLastColumn="0" w:lastRowFirstColumn="0" w:lastRowLastColumn="0"/>
            <w:tcW w:w="2277" w:type="dxa"/>
            <w:shd w:val="clear" w:color="auto" w:fill="FFFFFF" w:themeFill="background1"/>
          </w:tcPr>
          <w:p w14:paraId="02713323" w14:textId="2D2AF28C" w:rsidR="00470588" w:rsidRPr="00470588" w:rsidRDefault="00470588" w:rsidP="00470588">
            <w:pPr>
              <w:jc w:val="center"/>
              <w:rPr>
                <w:rFonts w:eastAsia="Times New Roman"/>
                <w:lang w:val="pt-PT"/>
              </w:rPr>
            </w:pPr>
            <w:r w:rsidRPr="00470588">
              <w:rPr>
                <w:rFonts w:eastAsia="Times New Roman"/>
                <w:lang w:val="pt-PT"/>
              </w:rPr>
              <w:t>Instituto Nacional de Angiología y Cirugía Vascular</w:t>
            </w:r>
          </w:p>
        </w:tc>
      </w:tr>
      <w:tr w:rsidR="00470588" w:rsidRPr="00470588" w14:paraId="2FA0608F" w14:textId="77777777" w:rsidTr="009414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9" w:type="dxa"/>
            <w:tcBorders>
              <w:bottom w:val="single" w:sz="4" w:space="0" w:color="auto"/>
            </w:tcBorders>
            <w:shd w:val="clear" w:color="auto" w:fill="FFFFFF" w:themeFill="background1"/>
          </w:tcPr>
          <w:p w14:paraId="2360D1BF" w14:textId="5B64987E" w:rsidR="00470588" w:rsidRPr="00470588" w:rsidRDefault="00470588" w:rsidP="00470588">
            <w:pPr>
              <w:jc w:val="center"/>
              <w:rPr>
                <w:lang w:val="es-CU"/>
              </w:rPr>
            </w:pPr>
            <w:r w:rsidRPr="00470588">
              <w:rPr>
                <w:rFonts w:eastAsia="Calibri"/>
                <w:b w:val="0"/>
                <w:bCs w:val="0"/>
                <w:color w:val="auto"/>
                <w:kern w:val="0"/>
                <w:lang w:val="es-ES"/>
                <w14:ligatures w14:val="none"/>
              </w:rPr>
              <w:t>Alfredo Aldama Figueroa</w:t>
            </w:r>
          </w:p>
        </w:tc>
        <w:tc>
          <w:tcPr>
            <w:cnfStyle w:val="000010000000" w:firstRow="0" w:lastRow="0" w:firstColumn="0" w:lastColumn="0" w:oddVBand="1" w:evenVBand="0" w:oddHBand="0" w:evenHBand="0" w:firstRowFirstColumn="0" w:firstRowLastColumn="0" w:lastRowFirstColumn="0" w:lastRowLastColumn="0"/>
            <w:tcW w:w="1969" w:type="dxa"/>
            <w:tcBorders>
              <w:bottom w:val="single" w:sz="4" w:space="0" w:color="auto"/>
            </w:tcBorders>
            <w:shd w:val="clear" w:color="auto" w:fill="FFFFFF" w:themeFill="background1"/>
          </w:tcPr>
          <w:p w14:paraId="545B56A4" w14:textId="257B1109" w:rsidR="00470588" w:rsidRPr="00470588" w:rsidRDefault="00470588" w:rsidP="00470588">
            <w:pPr>
              <w:jc w:val="center"/>
              <w:rPr>
                <w:rFonts w:eastAsia="Times New Roman"/>
                <w:lang w:val="es-CU"/>
              </w:rPr>
            </w:pPr>
            <w:r w:rsidRPr="006416CA">
              <w:rPr>
                <w:rFonts w:eastAsia="Calibri"/>
              </w:rPr>
              <w:t>Doctor en Ciencias Médicas. Especialista de 2do Grado en Fisiología Normal y Patológica.</w:t>
            </w:r>
          </w:p>
        </w:tc>
        <w:tc>
          <w:tcPr>
            <w:tcW w:w="1699" w:type="dxa"/>
            <w:tcBorders>
              <w:bottom w:val="single" w:sz="4" w:space="0" w:color="auto"/>
            </w:tcBorders>
            <w:shd w:val="clear" w:color="auto" w:fill="FFFFFF" w:themeFill="background1"/>
          </w:tcPr>
          <w:p w14:paraId="4F17ABA4" w14:textId="51087A7D" w:rsidR="00470588" w:rsidRPr="00470588" w:rsidRDefault="00F53E6B" w:rsidP="00470588">
            <w:pPr>
              <w:jc w:val="center"/>
              <w:cnfStyle w:val="000000100000" w:firstRow="0" w:lastRow="0" w:firstColumn="0" w:lastColumn="0" w:oddVBand="0" w:evenVBand="0" w:oddHBand="1" w:evenHBand="0" w:firstRowFirstColumn="0" w:firstRowLastColumn="0" w:lastRowFirstColumn="0" w:lastRowLastColumn="0"/>
              <w:rPr>
                <w:rFonts w:eastAsia="Times New Roman"/>
                <w:lang w:val="es-CU"/>
              </w:rPr>
            </w:pPr>
            <w:r>
              <w:rPr>
                <w:rFonts w:eastAsia="Times New Roman"/>
                <w:lang w:val="en-US"/>
              </w:rPr>
              <w:t>Investigator</w:t>
            </w:r>
            <w:r w:rsidR="00470588">
              <w:rPr>
                <w:rFonts w:eastAsia="Times New Roman"/>
                <w:lang w:val="en-US"/>
              </w:rPr>
              <w:t xml:space="preserve"> titular</w:t>
            </w:r>
          </w:p>
        </w:tc>
        <w:tc>
          <w:tcPr>
            <w:cnfStyle w:val="000010000000" w:firstRow="0" w:lastRow="0" w:firstColumn="0" w:lastColumn="0" w:oddVBand="1" w:evenVBand="0" w:oddHBand="0" w:evenHBand="0" w:firstRowFirstColumn="0" w:firstRowLastColumn="0" w:lastRowFirstColumn="0" w:lastRowLastColumn="0"/>
            <w:tcW w:w="2277" w:type="dxa"/>
            <w:tcBorders>
              <w:bottom w:val="single" w:sz="4" w:space="0" w:color="auto"/>
            </w:tcBorders>
            <w:shd w:val="clear" w:color="auto" w:fill="FFFFFF" w:themeFill="background1"/>
          </w:tcPr>
          <w:p w14:paraId="5A209927" w14:textId="624B24B3" w:rsidR="00470588" w:rsidRPr="00470588" w:rsidRDefault="001A33F5" w:rsidP="00470588">
            <w:pPr>
              <w:jc w:val="center"/>
              <w:rPr>
                <w:rFonts w:eastAsia="Times New Roman"/>
                <w:lang w:val="pt-PT"/>
              </w:rPr>
            </w:pPr>
            <w:r w:rsidRPr="001A33F5">
              <w:rPr>
                <w:rFonts w:eastAsia="Times New Roman"/>
                <w:lang w:val="pt-PT"/>
              </w:rPr>
              <w:t>Instituto Nacional de Angiología y Cirugía Vascular</w:t>
            </w:r>
          </w:p>
        </w:tc>
      </w:tr>
    </w:tbl>
    <w:p w14:paraId="7761D428" w14:textId="77777777" w:rsidR="00470588" w:rsidRPr="00470588" w:rsidRDefault="00470588" w:rsidP="00470588">
      <w:pPr>
        <w:rPr>
          <w:rFonts w:eastAsia="Calibri"/>
          <w:bCs/>
          <w:i/>
          <w:iCs/>
          <w:color w:val="212121"/>
          <w:kern w:val="2"/>
          <w:lang w:val="es-ES_tradnl"/>
          <w14:ligatures w14:val="standardContextual"/>
        </w:rPr>
      </w:pPr>
    </w:p>
    <w:p w14:paraId="7F1503C7" w14:textId="77777777" w:rsidR="00470588" w:rsidRDefault="00470588" w:rsidP="00470588">
      <w:pPr>
        <w:rPr>
          <w:rFonts w:eastAsia="Calibri"/>
          <w:bCs/>
          <w:i/>
          <w:iCs/>
          <w:color w:val="212121"/>
          <w:kern w:val="2"/>
          <w:lang w:val="es-ES_tradnl"/>
          <w14:ligatures w14:val="standardContextual"/>
        </w:rPr>
      </w:pPr>
    </w:p>
    <w:p w14:paraId="53CE2B7E" w14:textId="77777777" w:rsidR="00612DD5" w:rsidRDefault="00612DD5" w:rsidP="00470588">
      <w:pPr>
        <w:rPr>
          <w:rFonts w:eastAsia="Calibri"/>
          <w:bCs/>
          <w:i/>
          <w:iCs/>
          <w:color w:val="212121"/>
          <w:kern w:val="2"/>
          <w:lang w:val="es-ES_tradnl"/>
          <w14:ligatures w14:val="standardContextual"/>
        </w:rPr>
      </w:pPr>
    </w:p>
    <w:p w14:paraId="4226150E" w14:textId="77777777" w:rsidR="00612DD5" w:rsidRDefault="00612DD5" w:rsidP="00470588">
      <w:pPr>
        <w:rPr>
          <w:rFonts w:eastAsia="Calibri"/>
          <w:bCs/>
          <w:i/>
          <w:iCs/>
          <w:color w:val="212121"/>
          <w:kern w:val="2"/>
          <w:lang w:val="es-ES_tradnl"/>
          <w14:ligatures w14:val="standardContextual"/>
        </w:rPr>
      </w:pPr>
    </w:p>
    <w:p w14:paraId="5D8A9872" w14:textId="77777777" w:rsidR="00612DD5" w:rsidRDefault="00612DD5" w:rsidP="00470588">
      <w:pPr>
        <w:rPr>
          <w:rFonts w:eastAsia="Calibri"/>
          <w:bCs/>
          <w:i/>
          <w:iCs/>
          <w:color w:val="212121"/>
          <w:kern w:val="2"/>
          <w:lang w:val="es-ES_tradnl"/>
          <w14:ligatures w14:val="standardContextual"/>
        </w:rPr>
      </w:pPr>
    </w:p>
    <w:p w14:paraId="12573BD7" w14:textId="77777777" w:rsidR="00612DD5" w:rsidRPr="00470588" w:rsidRDefault="00612DD5" w:rsidP="00470588">
      <w:pPr>
        <w:rPr>
          <w:rFonts w:eastAsia="Calibri"/>
          <w:bCs/>
          <w:i/>
          <w:iCs/>
          <w:color w:val="212121"/>
          <w:kern w:val="2"/>
          <w:lang w:val="es-ES_tradnl"/>
          <w14:ligatures w14:val="standardContextual"/>
        </w:rPr>
      </w:pPr>
    </w:p>
    <w:p w14:paraId="643EF63B" w14:textId="77777777" w:rsidR="00470588" w:rsidRPr="00470588" w:rsidRDefault="00470588" w:rsidP="00470588">
      <w:pPr>
        <w:spacing w:before="120" w:line="240" w:lineRule="auto"/>
        <w:rPr>
          <w:rFonts w:eastAsia="Calibri"/>
          <w:bCs/>
          <w:i/>
          <w:iCs/>
          <w:color w:val="212121"/>
          <w:kern w:val="2"/>
          <w:lang w:val="es-ES_tradnl"/>
          <w14:ligatures w14:val="standardContextual"/>
        </w:rPr>
      </w:pPr>
      <w:r w:rsidRPr="00470588">
        <w:rPr>
          <w:rFonts w:eastAsia="Calibri"/>
          <w:bCs/>
          <w:i/>
          <w:iCs/>
          <w:color w:val="212121"/>
          <w:kern w:val="2"/>
          <w:lang w:val="es-ES_tradnl"/>
          <w14:ligatures w14:val="standardContextual"/>
        </w:rPr>
        <w:t>Materiales: Equipamiento</w:t>
      </w:r>
    </w:p>
    <w:tbl>
      <w:tblPr>
        <w:tblStyle w:val="PlainTable3"/>
        <w:tblW w:w="8575" w:type="dxa"/>
        <w:jc w:val="center"/>
        <w:shd w:val="clear" w:color="auto" w:fill="FFFFFF" w:themeFill="background1"/>
        <w:tblLayout w:type="fixed"/>
        <w:tblLook w:val="0000" w:firstRow="0" w:lastRow="0" w:firstColumn="0" w:lastColumn="0" w:noHBand="0" w:noVBand="0"/>
      </w:tblPr>
      <w:tblGrid>
        <w:gridCol w:w="2977"/>
        <w:gridCol w:w="2126"/>
        <w:gridCol w:w="1630"/>
        <w:gridCol w:w="1842"/>
      </w:tblGrid>
      <w:tr w:rsidR="00470588" w:rsidRPr="00470588" w14:paraId="6CEEA931" w14:textId="77777777" w:rsidTr="00941475">
        <w:trPr>
          <w:cnfStyle w:val="000000100000" w:firstRow="0" w:lastRow="0" w:firstColumn="0" w:lastColumn="0" w:oddVBand="0" w:evenVBand="0" w:oddHBand="1" w:evenHBand="0" w:firstRowFirstColumn="0" w:firstRowLastColumn="0" w:lastRowFirstColumn="0" w:lastRowLastColumn="0"/>
          <w:trHeight w:val="258"/>
          <w:jc w:val="center"/>
        </w:trPr>
        <w:tc>
          <w:tcPr>
            <w:cnfStyle w:val="000010000000" w:firstRow="0" w:lastRow="0" w:firstColumn="0" w:lastColumn="0" w:oddVBand="1" w:evenVBand="0" w:oddHBand="0" w:evenHBand="0" w:firstRowFirstColumn="0" w:firstRowLastColumn="0" w:lastRowFirstColumn="0" w:lastRowLastColumn="0"/>
            <w:tcW w:w="2977" w:type="dxa"/>
            <w:shd w:val="clear" w:color="auto" w:fill="DEEAF6" w:themeFill="accent5" w:themeFillTint="33"/>
          </w:tcPr>
          <w:p w14:paraId="5E7928E6" w14:textId="77777777" w:rsidR="00470588" w:rsidRPr="00470588" w:rsidRDefault="00470588" w:rsidP="00470588">
            <w:pPr>
              <w:rPr>
                <w:b/>
                <w:bCs/>
                <w:lang w:val="es-MX"/>
              </w:rPr>
            </w:pPr>
            <w:r w:rsidRPr="00470588">
              <w:rPr>
                <w:b/>
                <w:bCs/>
                <w:lang w:val="es-MX"/>
              </w:rPr>
              <w:t>RECURSOS</w:t>
            </w:r>
          </w:p>
        </w:tc>
        <w:tc>
          <w:tcPr>
            <w:tcW w:w="2126" w:type="dxa"/>
            <w:shd w:val="clear" w:color="auto" w:fill="DEEAF6" w:themeFill="accent5" w:themeFillTint="33"/>
          </w:tcPr>
          <w:p w14:paraId="6922D5DF" w14:textId="77777777" w:rsidR="00470588" w:rsidRPr="00470588" w:rsidRDefault="00470588" w:rsidP="00470588">
            <w:pPr>
              <w:cnfStyle w:val="000000100000" w:firstRow="0" w:lastRow="0" w:firstColumn="0" w:lastColumn="0" w:oddVBand="0" w:evenVBand="0" w:oddHBand="1" w:evenHBand="0" w:firstRowFirstColumn="0" w:firstRowLastColumn="0" w:lastRowFirstColumn="0" w:lastRowLastColumn="0"/>
              <w:rPr>
                <w:b/>
                <w:bCs/>
                <w:lang w:val="es-MX"/>
              </w:rPr>
            </w:pPr>
            <w:r w:rsidRPr="00470588">
              <w:rPr>
                <w:b/>
                <w:bCs/>
                <w:lang w:val="es-MX"/>
              </w:rPr>
              <w:t>PRECIO</w:t>
            </w:r>
          </w:p>
        </w:tc>
        <w:tc>
          <w:tcPr>
            <w:cnfStyle w:val="000010000000" w:firstRow="0" w:lastRow="0" w:firstColumn="0" w:lastColumn="0" w:oddVBand="1" w:evenVBand="0" w:oddHBand="0" w:evenHBand="0" w:firstRowFirstColumn="0" w:firstRowLastColumn="0" w:lastRowFirstColumn="0" w:lastRowLastColumn="0"/>
            <w:tcW w:w="1630" w:type="dxa"/>
            <w:shd w:val="clear" w:color="auto" w:fill="DEEAF6" w:themeFill="accent5" w:themeFillTint="33"/>
          </w:tcPr>
          <w:p w14:paraId="7873AF70" w14:textId="77777777" w:rsidR="00470588" w:rsidRPr="00470588" w:rsidRDefault="00470588" w:rsidP="00470588">
            <w:pPr>
              <w:rPr>
                <w:b/>
                <w:bCs/>
                <w:lang w:val="es-MX"/>
              </w:rPr>
            </w:pPr>
            <w:r w:rsidRPr="00470588">
              <w:rPr>
                <w:b/>
                <w:bCs/>
                <w:lang w:val="es-MX"/>
              </w:rPr>
              <w:t>CANTIDAD</w:t>
            </w:r>
          </w:p>
        </w:tc>
        <w:tc>
          <w:tcPr>
            <w:tcW w:w="1842" w:type="dxa"/>
            <w:shd w:val="clear" w:color="auto" w:fill="DEEAF6" w:themeFill="accent5" w:themeFillTint="33"/>
          </w:tcPr>
          <w:p w14:paraId="091E5D51" w14:textId="77777777" w:rsidR="00470588" w:rsidRPr="00470588" w:rsidRDefault="00470588" w:rsidP="00470588">
            <w:pPr>
              <w:cnfStyle w:val="000000100000" w:firstRow="0" w:lastRow="0" w:firstColumn="0" w:lastColumn="0" w:oddVBand="0" w:evenVBand="0" w:oddHBand="1" w:evenHBand="0" w:firstRowFirstColumn="0" w:firstRowLastColumn="0" w:lastRowFirstColumn="0" w:lastRowLastColumn="0"/>
              <w:rPr>
                <w:b/>
                <w:bCs/>
                <w:lang w:val="es-MX"/>
              </w:rPr>
            </w:pPr>
            <w:r w:rsidRPr="00470588">
              <w:rPr>
                <w:b/>
                <w:bCs/>
                <w:lang w:val="es-MX"/>
              </w:rPr>
              <w:t>IMPORTE</w:t>
            </w:r>
          </w:p>
        </w:tc>
      </w:tr>
      <w:tr w:rsidR="00470588" w:rsidRPr="00470588" w14:paraId="61D6AAAA" w14:textId="77777777" w:rsidTr="00941475">
        <w:trPr>
          <w:trHeight w:val="206"/>
          <w:jc w:val="center"/>
        </w:trPr>
        <w:tc>
          <w:tcPr>
            <w:cnfStyle w:val="000010000000" w:firstRow="0" w:lastRow="0" w:firstColumn="0" w:lastColumn="0" w:oddVBand="1" w:evenVBand="0" w:oddHBand="0" w:evenHBand="0" w:firstRowFirstColumn="0" w:firstRowLastColumn="0" w:lastRowFirstColumn="0" w:lastRowLastColumn="0"/>
            <w:tcW w:w="2977" w:type="dxa"/>
            <w:shd w:val="clear" w:color="auto" w:fill="FFFFFF" w:themeFill="background1"/>
          </w:tcPr>
          <w:p w14:paraId="1ADDA28E" w14:textId="77777777" w:rsidR="00470588" w:rsidRPr="00470588" w:rsidRDefault="00470588" w:rsidP="00470588">
            <w:pPr>
              <w:rPr>
                <w:bCs/>
                <w:color w:val="365F91"/>
                <w:lang w:val="en-US"/>
              </w:rPr>
            </w:pPr>
            <w:r w:rsidRPr="00470588">
              <w:rPr>
                <w:bCs/>
                <w:lang w:val="en-US"/>
              </w:rPr>
              <w:t>Memoria USB 8 GB</w:t>
            </w:r>
          </w:p>
        </w:tc>
        <w:tc>
          <w:tcPr>
            <w:tcW w:w="2126" w:type="dxa"/>
            <w:shd w:val="clear" w:color="auto" w:fill="FFFFFF" w:themeFill="background1"/>
          </w:tcPr>
          <w:p w14:paraId="43B1EED6" w14:textId="77777777" w:rsidR="00470588" w:rsidRPr="00470588" w:rsidRDefault="00470588" w:rsidP="00470588">
            <w:pPr>
              <w:cnfStyle w:val="000000000000" w:firstRow="0" w:lastRow="0" w:firstColumn="0" w:lastColumn="0" w:oddVBand="0" w:evenVBand="0" w:oddHBand="0" w:evenHBand="0" w:firstRowFirstColumn="0" w:firstRowLastColumn="0" w:lastRowFirstColumn="0" w:lastRowLastColumn="0"/>
              <w:rPr>
                <w:lang w:val="es-MX"/>
              </w:rPr>
            </w:pPr>
            <w:r w:rsidRPr="00470588">
              <w:rPr>
                <w:lang w:val="es-MX"/>
              </w:rPr>
              <w:t>1,200 CUP</w:t>
            </w:r>
          </w:p>
        </w:tc>
        <w:tc>
          <w:tcPr>
            <w:cnfStyle w:val="000010000000" w:firstRow="0" w:lastRow="0" w:firstColumn="0" w:lastColumn="0" w:oddVBand="1" w:evenVBand="0" w:oddHBand="0" w:evenHBand="0" w:firstRowFirstColumn="0" w:firstRowLastColumn="0" w:lastRowFirstColumn="0" w:lastRowLastColumn="0"/>
            <w:tcW w:w="1630" w:type="dxa"/>
            <w:shd w:val="clear" w:color="auto" w:fill="FFFFFF" w:themeFill="background1"/>
          </w:tcPr>
          <w:p w14:paraId="1C246C00" w14:textId="77777777" w:rsidR="00470588" w:rsidRPr="00470588" w:rsidRDefault="00470588" w:rsidP="00470588">
            <w:pPr>
              <w:rPr>
                <w:bCs/>
                <w:color w:val="365F91"/>
                <w:lang w:val="en-US"/>
              </w:rPr>
            </w:pPr>
            <w:r w:rsidRPr="00470588">
              <w:rPr>
                <w:bCs/>
                <w:lang w:val="en-US"/>
              </w:rPr>
              <w:t>1</w:t>
            </w:r>
          </w:p>
        </w:tc>
        <w:tc>
          <w:tcPr>
            <w:tcW w:w="1842" w:type="dxa"/>
            <w:shd w:val="clear" w:color="auto" w:fill="FFFFFF" w:themeFill="background1"/>
          </w:tcPr>
          <w:p w14:paraId="3C4FF0D3" w14:textId="77777777" w:rsidR="00470588" w:rsidRPr="00470588" w:rsidRDefault="00470588" w:rsidP="00470588">
            <w:pPr>
              <w:cnfStyle w:val="000000000000" w:firstRow="0" w:lastRow="0" w:firstColumn="0" w:lastColumn="0" w:oddVBand="0" w:evenVBand="0" w:oddHBand="0" w:evenHBand="0" w:firstRowFirstColumn="0" w:firstRowLastColumn="0" w:lastRowFirstColumn="0" w:lastRowLastColumn="0"/>
              <w:rPr>
                <w:lang w:val="es-MX"/>
              </w:rPr>
            </w:pPr>
            <w:r w:rsidRPr="00470588">
              <w:rPr>
                <w:lang w:val="es-MX"/>
              </w:rPr>
              <w:t>1,200 CUP</w:t>
            </w:r>
          </w:p>
        </w:tc>
      </w:tr>
      <w:tr w:rsidR="00470588" w:rsidRPr="00470588" w14:paraId="4C0C0DF0" w14:textId="77777777" w:rsidTr="00941475">
        <w:trPr>
          <w:cnfStyle w:val="000000100000" w:firstRow="0" w:lastRow="0" w:firstColumn="0" w:lastColumn="0" w:oddVBand="0" w:evenVBand="0" w:oddHBand="1" w:evenHBand="0" w:firstRowFirstColumn="0" w:firstRowLastColumn="0" w:lastRowFirstColumn="0" w:lastRowLastColumn="0"/>
          <w:trHeight w:val="168"/>
          <w:jc w:val="center"/>
        </w:trPr>
        <w:tc>
          <w:tcPr>
            <w:cnfStyle w:val="000010000000" w:firstRow="0" w:lastRow="0" w:firstColumn="0" w:lastColumn="0" w:oddVBand="1" w:evenVBand="0" w:oddHBand="0" w:evenHBand="0" w:firstRowFirstColumn="0" w:firstRowLastColumn="0" w:lastRowFirstColumn="0" w:lastRowLastColumn="0"/>
            <w:tcW w:w="2977" w:type="dxa"/>
            <w:shd w:val="clear" w:color="auto" w:fill="FFFFFF" w:themeFill="background1"/>
          </w:tcPr>
          <w:p w14:paraId="035E17B3" w14:textId="77777777" w:rsidR="00470588" w:rsidRPr="00470588" w:rsidRDefault="00470588" w:rsidP="00470588">
            <w:pPr>
              <w:rPr>
                <w:lang w:val="es-MX"/>
              </w:rPr>
            </w:pPr>
            <w:r w:rsidRPr="00470588">
              <w:rPr>
                <w:lang w:val="es-MX"/>
              </w:rPr>
              <w:t>Ordenador A</w:t>
            </w:r>
            <w:r w:rsidRPr="00470588">
              <w:rPr>
                <w:lang w:val="en-US"/>
              </w:rPr>
              <w:t>cer</w:t>
            </w:r>
          </w:p>
        </w:tc>
        <w:tc>
          <w:tcPr>
            <w:tcW w:w="2126" w:type="dxa"/>
            <w:shd w:val="clear" w:color="auto" w:fill="FFFFFF" w:themeFill="background1"/>
          </w:tcPr>
          <w:p w14:paraId="4BBFDCA2" w14:textId="77777777" w:rsidR="00470588" w:rsidRPr="00470588" w:rsidRDefault="00470588" w:rsidP="00470588">
            <w:pPr>
              <w:cnfStyle w:val="000000100000" w:firstRow="0" w:lastRow="0" w:firstColumn="0" w:lastColumn="0" w:oddVBand="0" w:evenVBand="0" w:oddHBand="1" w:evenHBand="0" w:firstRowFirstColumn="0" w:firstRowLastColumn="0" w:lastRowFirstColumn="0" w:lastRowLastColumn="0"/>
              <w:rPr>
                <w:lang w:val="es-MX"/>
              </w:rPr>
            </w:pPr>
            <w:r w:rsidRPr="00470588">
              <w:rPr>
                <w:lang w:val="es-MX"/>
              </w:rPr>
              <w:t>158,000 CUP</w:t>
            </w:r>
          </w:p>
        </w:tc>
        <w:tc>
          <w:tcPr>
            <w:cnfStyle w:val="000010000000" w:firstRow="0" w:lastRow="0" w:firstColumn="0" w:lastColumn="0" w:oddVBand="1" w:evenVBand="0" w:oddHBand="0" w:evenHBand="0" w:firstRowFirstColumn="0" w:firstRowLastColumn="0" w:lastRowFirstColumn="0" w:lastRowLastColumn="0"/>
            <w:tcW w:w="1630" w:type="dxa"/>
            <w:shd w:val="clear" w:color="auto" w:fill="FFFFFF" w:themeFill="background1"/>
          </w:tcPr>
          <w:p w14:paraId="1A800BF2" w14:textId="77777777" w:rsidR="00470588" w:rsidRPr="00470588" w:rsidRDefault="00470588" w:rsidP="00470588">
            <w:pPr>
              <w:rPr>
                <w:lang w:val="es-MX"/>
              </w:rPr>
            </w:pPr>
            <w:r w:rsidRPr="00470588">
              <w:rPr>
                <w:lang w:val="es-MX"/>
              </w:rPr>
              <w:t>1</w:t>
            </w:r>
          </w:p>
        </w:tc>
        <w:tc>
          <w:tcPr>
            <w:tcW w:w="1842" w:type="dxa"/>
            <w:shd w:val="clear" w:color="auto" w:fill="FFFFFF" w:themeFill="background1"/>
          </w:tcPr>
          <w:p w14:paraId="3D56F544" w14:textId="77777777" w:rsidR="00470588" w:rsidRPr="00470588" w:rsidRDefault="00470588" w:rsidP="00470588">
            <w:pPr>
              <w:cnfStyle w:val="000000100000" w:firstRow="0" w:lastRow="0" w:firstColumn="0" w:lastColumn="0" w:oddVBand="0" w:evenVBand="0" w:oddHBand="1" w:evenHBand="0" w:firstRowFirstColumn="0" w:firstRowLastColumn="0" w:lastRowFirstColumn="0" w:lastRowLastColumn="0"/>
              <w:rPr>
                <w:lang w:val="es-MX"/>
              </w:rPr>
            </w:pPr>
            <w:r w:rsidRPr="00470588">
              <w:rPr>
                <w:lang w:val="es-MX"/>
              </w:rPr>
              <w:t>158,000 CUP</w:t>
            </w:r>
          </w:p>
        </w:tc>
      </w:tr>
      <w:tr w:rsidR="00470588" w:rsidRPr="00470588" w14:paraId="4D3F15B2" w14:textId="77777777" w:rsidTr="00941475">
        <w:trPr>
          <w:jc w:val="center"/>
        </w:trPr>
        <w:tc>
          <w:tcPr>
            <w:cnfStyle w:val="000010000000" w:firstRow="0" w:lastRow="0" w:firstColumn="0" w:lastColumn="0" w:oddVBand="1" w:evenVBand="0" w:oddHBand="0" w:evenHBand="0" w:firstRowFirstColumn="0" w:firstRowLastColumn="0" w:lastRowFirstColumn="0" w:lastRowLastColumn="0"/>
            <w:tcW w:w="2977" w:type="dxa"/>
            <w:tcBorders>
              <w:bottom w:val="single" w:sz="4" w:space="0" w:color="auto"/>
            </w:tcBorders>
            <w:shd w:val="clear" w:color="auto" w:fill="FFFFFF" w:themeFill="background1"/>
          </w:tcPr>
          <w:p w14:paraId="057FA109" w14:textId="77777777" w:rsidR="00470588" w:rsidRPr="00470588" w:rsidRDefault="00470588" w:rsidP="00470588">
            <w:pPr>
              <w:rPr>
                <w:lang w:val="es-MX"/>
              </w:rPr>
            </w:pPr>
            <w:r w:rsidRPr="00470588">
              <w:rPr>
                <w:lang w:val="es-MX"/>
              </w:rPr>
              <w:t>Impresora multifuncional</w:t>
            </w:r>
          </w:p>
        </w:tc>
        <w:tc>
          <w:tcPr>
            <w:tcW w:w="2126" w:type="dxa"/>
            <w:tcBorders>
              <w:bottom w:val="single" w:sz="4" w:space="0" w:color="auto"/>
            </w:tcBorders>
            <w:shd w:val="clear" w:color="auto" w:fill="FFFFFF" w:themeFill="background1"/>
          </w:tcPr>
          <w:p w14:paraId="0C517884" w14:textId="77777777" w:rsidR="00470588" w:rsidRPr="00470588" w:rsidRDefault="00470588" w:rsidP="00470588">
            <w:pPr>
              <w:cnfStyle w:val="000000000000" w:firstRow="0" w:lastRow="0" w:firstColumn="0" w:lastColumn="0" w:oddVBand="0" w:evenVBand="0" w:oddHBand="0" w:evenHBand="0" w:firstRowFirstColumn="0" w:firstRowLastColumn="0" w:lastRowFirstColumn="0" w:lastRowLastColumn="0"/>
              <w:rPr>
                <w:lang w:val="es-MX"/>
              </w:rPr>
            </w:pPr>
            <w:r w:rsidRPr="00470588">
              <w:rPr>
                <w:lang w:val="es-MX"/>
              </w:rPr>
              <w:t>75,000 CUP</w:t>
            </w:r>
          </w:p>
        </w:tc>
        <w:tc>
          <w:tcPr>
            <w:cnfStyle w:val="000010000000" w:firstRow="0" w:lastRow="0" w:firstColumn="0" w:lastColumn="0" w:oddVBand="1" w:evenVBand="0" w:oddHBand="0" w:evenHBand="0" w:firstRowFirstColumn="0" w:firstRowLastColumn="0" w:lastRowFirstColumn="0" w:lastRowLastColumn="0"/>
            <w:tcW w:w="1630" w:type="dxa"/>
            <w:tcBorders>
              <w:bottom w:val="single" w:sz="4" w:space="0" w:color="auto"/>
            </w:tcBorders>
            <w:shd w:val="clear" w:color="auto" w:fill="FFFFFF" w:themeFill="background1"/>
          </w:tcPr>
          <w:p w14:paraId="2C8913CE" w14:textId="77777777" w:rsidR="00470588" w:rsidRPr="00470588" w:rsidRDefault="00470588" w:rsidP="00470588">
            <w:pPr>
              <w:rPr>
                <w:lang w:val="es-MX"/>
              </w:rPr>
            </w:pPr>
            <w:r w:rsidRPr="00470588">
              <w:rPr>
                <w:lang w:val="es-MX"/>
              </w:rPr>
              <w:t>1</w:t>
            </w:r>
          </w:p>
        </w:tc>
        <w:tc>
          <w:tcPr>
            <w:tcW w:w="1842" w:type="dxa"/>
            <w:tcBorders>
              <w:bottom w:val="single" w:sz="4" w:space="0" w:color="auto"/>
            </w:tcBorders>
            <w:shd w:val="clear" w:color="auto" w:fill="FFFFFF" w:themeFill="background1"/>
          </w:tcPr>
          <w:p w14:paraId="21C993FD" w14:textId="77777777" w:rsidR="00470588" w:rsidRPr="00470588" w:rsidRDefault="00470588" w:rsidP="00470588">
            <w:pPr>
              <w:cnfStyle w:val="000000000000" w:firstRow="0" w:lastRow="0" w:firstColumn="0" w:lastColumn="0" w:oddVBand="0" w:evenVBand="0" w:oddHBand="0" w:evenHBand="0" w:firstRowFirstColumn="0" w:firstRowLastColumn="0" w:lastRowFirstColumn="0" w:lastRowLastColumn="0"/>
              <w:rPr>
                <w:lang w:val="es-MX"/>
              </w:rPr>
            </w:pPr>
            <w:r w:rsidRPr="00470588">
              <w:rPr>
                <w:lang w:val="es-MX"/>
              </w:rPr>
              <w:t>75,000 cup</w:t>
            </w:r>
          </w:p>
        </w:tc>
      </w:tr>
    </w:tbl>
    <w:p w14:paraId="25B34998" w14:textId="77777777" w:rsidR="00470588" w:rsidRPr="00470588" w:rsidRDefault="00470588" w:rsidP="00470588">
      <w:pPr>
        <w:spacing w:before="120" w:line="240" w:lineRule="auto"/>
        <w:rPr>
          <w:bCs/>
          <w:i/>
          <w:iCs/>
          <w:color w:val="212121"/>
          <w:kern w:val="2"/>
          <w14:ligatures w14:val="standardContextual"/>
        </w:rPr>
      </w:pPr>
    </w:p>
    <w:p w14:paraId="6A1B1FC3" w14:textId="77777777" w:rsidR="00470588" w:rsidRPr="00470588" w:rsidRDefault="00470588" w:rsidP="00470588">
      <w:pPr>
        <w:spacing w:before="120" w:line="240" w:lineRule="auto"/>
        <w:rPr>
          <w:bCs/>
          <w:i/>
          <w:iCs/>
          <w:color w:val="212121"/>
          <w:kern w:val="2"/>
          <w14:ligatures w14:val="standardContextual"/>
        </w:rPr>
      </w:pPr>
    </w:p>
    <w:p w14:paraId="2D9E69FC" w14:textId="77777777" w:rsidR="00470588" w:rsidRPr="00470588" w:rsidRDefault="00470588" w:rsidP="00470588">
      <w:pPr>
        <w:spacing w:before="120" w:line="240" w:lineRule="auto"/>
        <w:rPr>
          <w:bCs/>
          <w:i/>
          <w:iCs/>
          <w:color w:val="212121"/>
          <w:kern w:val="2"/>
          <w14:ligatures w14:val="standardContextual"/>
        </w:rPr>
      </w:pPr>
    </w:p>
    <w:p w14:paraId="3154C2D6" w14:textId="77777777" w:rsidR="00470588" w:rsidRPr="00470588" w:rsidRDefault="00470588" w:rsidP="00470588">
      <w:pPr>
        <w:spacing w:before="120" w:line="240" w:lineRule="auto"/>
        <w:rPr>
          <w:bCs/>
          <w:i/>
          <w:iCs/>
          <w:color w:val="212121"/>
          <w:kern w:val="2"/>
          <w14:ligatures w14:val="standardContextual"/>
        </w:rPr>
      </w:pPr>
    </w:p>
    <w:p w14:paraId="1BC360DD" w14:textId="77777777" w:rsidR="00470588" w:rsidRPr="00470588" w:rsidRDefault="00470588" w:rsidP="00470588">
      <w:pPr>
        <w:spacing w:before="120" w:line="240" w:lineRule="auto"/>
        <w:rPr>
          <w:bCs/>
          <w:i/>
          <w:iCs/>
          <w:color w:val="212121"/>
          <w:kern w:val="2"/>
          <w14:ligatures w14:val="standardContextual"/>
        </w:rPr>
      </w:pPr>
      <w:r w:rsidRPr="00470588">
        <w:rPr>
          <w:bCs/>
          <w:i/>
          <w:iCs/>
          <w:color w:val="212121"/>
          <w:kern w:val="2"/>
          <w14:ligatures w14:val="standardContextual"/>
        </w:rPr>
        <w:t>Materiales: de oficina</w:t>
      </w:r>
    </w:p>
    <w:tbl>
      <w:tblPr>
        <w:tblStyle w:val="PlainTable41"/>
        <w:tblW w:w="9923" w:type="dxa"/>
        <w:jc w:val="center"/>
        <w:shd w:val="clear" w:color="auto" w:fill="FFFFFF" w:themeFill="background1"/>
        <w:tblLayout w:type="fixed"/>
        <w:tblLook w:val="0000" w:firstRow="0" w:lastRow="0" w:firstColumn="0" w:lastColumn="0" w:noHBand="0" w:noVBand="0"/>
      </w:tblPr>
      <w:tblGrid>
        <w:gridCol w:w="2694"/>
        <w:gridCol w:w="709"/>
        <w:gridCol w:w="2126"/>
        <w:gridCol w:w="1257"/>
        <w:gridCol w:w="1578"/>
        <w:gridCol w:w="1559"/>
      </w:tblGrid>
      <w:tr w:rsidR="00470588" w:rsidRPr="00470588" w14:paraId="0D87A992" w14:textId="77777777" w:rsidTr="0094147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94" w:type="dxa"/>
            <w:shd w:val="clear" w:color="auto" w:fill="D9E2F3" w:themeFill="accent1" w:themeFillTint="33"/>
          </w:tcPr>
          <w:p w14:paraId="3167BEF3" w14:textId="77777777" w:rsidR="00470588" w:rsidRPr="00470588" w:rsidRDefault="00470588" w:rsidP="00470588">
            <w:pPr>
              <w:rPr>
                <w:b/>
                <w:bCs/>
                <w:lang w:val="es-MX"/>
              </w:rPr>
            </w:pPr>
            <w:r w:rsidRPr="00470588">
              <w:rPr>
                <w:b/>
                <w:bCs/>
                <w:lang w:val="es-MX"/>
              </w:rPr>
              <w:t>PRODUCTO</w:t>
            </w:r>
          </w:p>
        </w:tc>
        <w:tc>
          <w:tcPr>
            <w:tcW w:w="709" w:type="dxa"/>
            <w:shd w:val="clear" w:color="auto" w:fill="D9E2F3" w:themeFill="accent1" w:themeFillTint="33"/>
          </w:tcPr>
          <w:p w14:paraId="741540BF" w14:textId="77777777" w:rsidR="00470588" w:rsidRPr="00470588" w:rsidRDefault="00470588" w:rsidP="00470588">
            <w:pPr>
              <w:cnfStyle w:val="000000100000" w:firstRow="0" w:lastRow="0" w:firstColumn="0" w:lastColumn="0" w:oddVBand="0" w:evenVBand="0" w:oddHBand="1" w:evenHBand="0" w:firstRowFirstColumn="0" w:firstRowLastColumn="0" w:lastRowFirstColumn="0" w:lastRowLastColumn="0"/>
              <w:rPr>
                <w:b/>
                <w:bCs/>
                <w:iCs/>
                <w:lang w:val="en-US" w:eastAsia="es-ES"/>
              </w:rPr>
            </w:pPr>
            <w:r w:rsidRPr="00470588">
              <w:rPr>
                <w:b/>
                <w:bCs/>
                <w:iCs/>
                <w:lang w:val="en-US" w:eastAsia="es-ES"/>
              </w:rPr>
              <w:t>U/M</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D9E2F3" w:themeFill="accent1" w:themeFillTint="33"/>
          </w:tcPr>
          <w:p w14:paraId="6E61E2BC" w14:textId="77777777" w:rsidR="00470588" w:rsidRPr="00470588" w:rsidRDefault="00470588" w:rsidP="00470588">
            <w:pPr>
              <w:rPr>
                <w:b/>
                <w:bCs/>
                <w:lang w:val="es-MX"/>
              </w:rPr>
            </w:pPr>
            <w:r w:rsidRPr="00470588">
              <w:rPr>
                <w:b/>
                <w:bCs/>
                <w:lang w:val="es-MX"/>
              </w:rPr>
              <w:t>PRESENTACIÓN</w:t>
            </w:r>
          </w:p>
        </w:tc>
        <w:tc>
          <w:tcPr>
            <w:tcW w:w="1257" w:type="dxa"/>
            <w:shd w:val="clear" w:color="auto" w:fill="D9E2F3" w:themeFill="accent1" w:themeFillTint="33"/>
          </w:tcPr>
          <w:p w14:paraId="3C44302C" w14:textId="77777777" w:rsidR="00470588" w:rsidRPr="00470588" w:rsidRDefault="00470588" w:rsidP="00470588">
            <w:pPr>
              <w:cnfStyle w:val="000000100000" w:firstRow="0" w:lastRow="0" w:firstColumn="0" w:lastColumn="0" w:oddVBand="0" w:evenVBand="0" w:oddHBand="1" w:evenHBand="0" w:firstRowFirstColumn="0" w:firstRowLastColumn="0" w:lastRowFirstColumn="0" w:lastRowLastColumn="0"/>
              <w:rPr>
                <w:b/>
                <w:bCs/>
                <w:lang w:val="es-MX"/>
              </w:rPr>
            </w:pPr>
            <w:r w:rsidRPr="00470588">
              <w:rPr>
                <w:b/>
                <w:bCs/>
                <w:lang w:val="es-MX"/>
              </w:rPr>
              <w:t>PRECIO CUP</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D9E2F3" w:themeFill="accent1" w:themeFillTint="33"/>
          </w:tcPr>
          <w:p w14:paraId="1EF8D4CA" w14:textId="77777777" w:rsidR="00470588" w:rsidRPr="00470588" w:rsidRDefault="00470588" w:rsidP="00470588">
            <w:pPr>
              <w:rPr>
                <w:b/>
                <w:bCs/>
                <w:lang w:val="es-MX"/>
              </w:rPr>
            </w:pPr>
            <w:r w:rsidRPr="00470588">
              <w:rPr>
                <w:b/>
                <w:bCs/>
                <w:lang w:val="es-MX"/>
              </w:rPr>
              <w:t>CANTIDAD</w:t>
            </w:r>
          </w:p>
        </w:tc>
        <w:tc>
          <w:tcPr>
            <w:tcW w:w="1559" w:type="dxa"/>
            <w:shd w:val="clear" w:color="auto" w:fill="D9E2F3" w:themeFill="accent1" w:themeFillTint="33"/>
          </w:tcPr>
          <w:p w14:paraId="4B0803D4" w14:textId="77777777" w:rsidR="00470588" w:rsidRPr="00470588" w:rsidRDefault="00470588" w:rsidP="00470588">
            <w:pPr>
              <w:cnfStyle w:val="000000100000" w:firstRow="0" w:lastRow="0" w:firstColumn="0" w:lastColumn="0" w:oddVBand="0" w:evenVBand="0" w:oddHBand="1" w:evenHBand="0" w:firstRowFirstColumn="0" w:firstRowLastColumn="0" w:lastRowFirstColumn="0" w:lastRowLastColumn="0"/>
              <w:rPr>
                <w:b/>
                <w:bCs/>
                <w:lang w:val="es-MX"/>
              </w:rPr>
            </w:pPr>
            <w:r w:rsidRPr="00470588">
              <w:rPr>
                <w:b/>
                <w:bCs/>
                <w:lang w:val="es-MX"/>
              </w:rPr>
              <w:t>IMPORTE CUP</w:t>
            </w:r>
          </w:p>
        </w:tc>
      </w:tr>
      <w:tr w:rsidR="00470588" w:rsidRPr="00470588" w14:paraId="41A5E5FB" w14:textId="77777777" w:rsidTr="00941475">
        <w:trPr>
          <w:trHeight w:val="302"/>
          <w:jc w:val="center"/>
        </w:trPr>
        <w:tc>
          <w:tcPr>
            <w:cnfStyle w:val="000010000000" w:firstRow="0" w:lastRow="0" w:firstColumn="0" w:lastColumn="0" w:oddVBand="1" w:evenVBand="0" w:oddHBand="0" w:evenHBand="0" w:firstRowFirstColumn="0" w:firstRowLastColumn="0" w:lastRowFirstColumn="0" w:lastRowLastColumn="0"/>
            <w:tcW w:w="2694" w:type="dxa"/>
            <w:shd w:val="clear" w:color="auto" w:fill="FFFFFF" w:themeFill="background1"/>
          </w:tcPr>
          <w:p w14:paraId="2880F971" w14:textId="77777777" w:rsidR="00470588" w:rsidRPr="00470588" w:rsidRDefault="00470588" w:rsidP="00470588">
            <w:pPr>
              <w:rPr>
                <w:lang w:val="es-MX"/>
              </w:rPr>
            </w:pPr>
            <w:r w:rsidRPr="00470588">
              <w:rPr>
                <w:lang w:val="es-MX"/>
              </w:rPr>
              <w:t>Bolígrafos desechables</w:t>
            </w:r>
          </w:p>
        </w:tc>
        <w:tc>
          <w:tcPr>
            <w:tcW w:w="709" w:type="dxa"/>
            <w:shd w:val="clear" w:color="auto" w:fill="FFFFFF" w:themeFill="background1"/>
          </w:tcPr>
          <w:p w14:paraId="76EE2EC0" w14:textId="77777777" w:rsidR="00470588" w:rsidRPr="00470588" w:rsidRDefault="00470588" w:rsidP="00470588">
            <w:pPr>
              <w:cnfStyle w:val="000000000000" w:firstRow="0" w:lastRow="0" w:firstColumn="0" w:lastColumn="0" w:oddVBand="0" w:evenVBand="0" w:oddHBand="0" w:evenHBand="0" w:firstRowFirstColumn="0" w:firstRowLastColumn="0" w:lastRowFirstColumn="0" w:lastRowLastColumn="0"/>
              <w:rPr>
                <w:lang w:val="es-MX"/>
              </w:rPr>
            </w:pPr>
            <w:r w:rsidRPr="00470588">
              <w:rPr>
                <w:lang w:val="es-MX"/>
              </w:rPr>
              <w:t>U</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tcPr>
          <w:p w14:paraId="2A847FA0" w14:textId="77777777" w:rsidR="00470588" w:rsidRPr="00470588" w:rsidRDefault="00470588" w:rsidP="00470588">
            <w:pPr>
              <w:rPr>
                <w:lang w:val="es-MX"/>
              </w:rPr>
            </w:pPr>
            <w:r w:rsidRPr="00470588">
              <w:rPr>
                <w:lang w:val="es-MX"/>
              </w:rPr>
              <w:t>U</w:t>
            </w:r>
          </w:p>
        </w:tc>
        <w:tc>
          <w:tcPr>
            <w:tcW w:w="1257" w:type="dxa"/>
            <w:shd w:val="clear" w:color="auto" w:fill="FFFFFF" w:themeFill="background1"/>
          </w:tcPr>
          <w:p w14:paraId="3820EAFA" w14:textId="77777777" w:rsidR="00470588" w:rsidRPr="00470588" w:rsidRDefault="00470588" w:rsidP="00470588">
            <w:pPr>
              <w:cnfStyle w:val="000000000000" w:firstRow="0" w:lastRow="0" w:firstColumn="0" w:lastColumn="0" w:oddVBand="0" w:evenVBand="0" w:oddHBand="0" w:evenHBand="0" w:firstRowFirstColumn="0" w:firstRowLastColumn="0" w:lastRowFirstColumn="0" w:lastRowLastColumn="0"/>
              <w:rPr>
                <w:lang w:val="es-MX"/>
              </w:rPr>
            </w:pPr>
            <w:r w:rsidRPr="00470588">
              <w:rPr>
                <w:lang w:val="es-MX"/>
              </w:rPr>
              <w:t>$ 50</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FFFFFF" w:themeFill="background1"/>
          </w:tcPr>
          <w:p w14:paraId="61E34818" w14:textId="77777777" w:rsidR="00470588" w:rsidRPr="00470588" w:rsidRDefault="00470588" w:rsidP="00470588">
            <w:pPr>
              <w:rPr>
                <w:lang w:val="es-MX"/>
              </w:rPr>
            </w:pPr>
            <w:r w:rsidRPr="00470588">
              <w:rPr>
                <w:lang w:val="es-MX"/>
              </w:rPr>
              <w:t>20</w:t>
            </w:r>
          </w:p>
        </w:tc>
        <w:tc>
          <w:tcPr>
            <w:tcW w:w="1559" w:type="dxa"/>
            <w:shd w:val="clear" w:color="auto" w:fill="FFFFFF" w:themeFill="background1"/>
          </w:tcPr>
          <w:p w14:paraId="6751A14D" w14:textId="77777777" w:rsidR="00470588" w:rsidRPr="00470588" w:rsidRDefault="00470588" w:rsidP="00470588">
            <w:pPr>
              <w:cnfStyle w:val="000000000000" w:firstRow="0" w:lastRow="0" w:firstColumn="0" w:lastColumn="0" w:oddVBand="0" w:evenVBand="0" w:oddHBand="0" w:evenHBand="0" w:firstRowFirstColumn="0" w:firstRowLastColumn="0" w:lastRowFirstColumn="0" w:lastRowLastColumn="0"/>
              <w:rPr>
                <w:lang w:val="es-MX"/>
              </w:rPr>
            </w:pPr>
            <w:r w:rsidRPr="00470588">
              <w:rPr>
                <w:lang w:val="es-MX"/>
              </w:rPr>
              <w:t>$ 1000</w:t>
            </w:r>
          </w:p>
        </w:tc>
      </w:tr>
      <w:tr w:rsidR="00470588" w:rsidRPr="00470588" w14:paraId="60256A29" w14:textId="77777777" w:rsidTr="0094147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94" w:type="dxa"/>
            <w:shd w:val="clear" w:color="auto" w:fill="FFFFFF" w:themeFill="background1"/>
          </w:tcPr>
          <w:p w14:paraId="1474B450" w14:textId="77777777" w:rsidR="00470588" w:rsidRPr="00470588" w:rsidRDefault="00470588" w:rsidP="00470588">
            <w:pPr>
              <w:rPr>
                <w:lang w:val="es-MX"/>
              </w:rPr>
            </w:pPr>
            <w:r w:rsidRPr="00470588">
              <w:rPr>
                <w:lang w:val="es-MX"/>
              </w:rPr>
              <w:t>Goma de Borrar</w:t>
            </w:r>
          </w:p>
        </w:tc>
        <w:tc>
          <w:tcPr>
            <w:tcW w:w="709" w:type="dxa"/>
            <w:shd w:val="clear" w:color="auto" w:fill="FFFFFF" w:themeFill="background1"/>
          </w:tcPr>
          <w:p w14:paraId="5C362AA4" w14:textId="77777777" w:rsidR="00470588" w:rsidRPr="00470588" w:rsidRDefault="00470588" w:rsidP="00470588">
            <w:pPr>
              <w:cnfStyle w:val="000000100000" w:firstRow="0" w:lastRow="0" w:firstColumn="0" w:lastColumn="0" w:oddVBand="0" w:evenVBand="0" w:oddHBand="1" w:evenHBand="0" w:firstRowFirstColumn="0" w:firstRowLastColumn="0" w:lastRowFirstColumn="0" w:lastRowLastColumn="0"/>
              <w:rPr>
                <w:lang w:val="es-MX"/>
              </w:rPr>
            </w:pPr>
            <w:r w:rsidRPr="00470588">
              <w:rPr>
                <w:lang w:val="es-MX"/>
              </w:rPr>
              <w:t>U</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tcPr>
          <w:p w14:paraId="250EBDA8" w14:textId="77777777" w:rsidR="00470588" w:rsidRPr="00470588" w:rsidRDefault="00470588" w:rsidP="00470588">
            <w:pPr>
              <w:rPr>
                <w:lang w:val="es-MX"/>
              </w:rPr>
            </w:pPr>
            <w:r w:rsidRPr="00470588">
              <w:rPr>
                <w:lang w:val="es-MX"/>
              </w:rPr>
              <w:t>U</w:t>
            </w:r>
          </w:p>
        </w:tc>
        <w:tc>
          <w:tcPr>
            <w:tcW w:w="1257" w:type="dxa"/>
            <w:shd w:val="clear" w:color="auto" w:fill="FFFFFF" w:themeFill="background1"/>
          </w:tcPr>
          <w:p w14:paraId="418E94F9" w14:textId="77777777" w:rsidR="00470588" w:rsidRPr="00470588" w:rsidRDefault="00470588" w:rsidP="00470588">
            <w:pPr>
              <w:cnfStyle w:val="000000100000" w:firstRow="0" w:lastRow="0" w:firstColumn="0" w:lastColumn="0" w:oddVBand="0" w:evenVBand="0" w:oddHBand="1" w:evenHBand="0" w:firstRowFirstColumn="0" w:firstRowLastColumn="0" w:lastRowFirstColumn="0" w:lastRowLastColumn="0"/>
              <w:rPr>
                <w:lang w:val="es-MX"/>
              </w:rPr>
            </w:pPr>
            <w:r w:rsidRPr="00470588">
              <w:rPr>
                <w:lang w:val="es-MX"/>
              </w:rPr>
              <w:t>$ 30</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FFFFFF" w:themeFill="background1"/>
          </w:tcPr>
          <w:p w14:paraId="15F5DE1D" w14:textId="77777777" w:rsidR="00470588" w:rsidRPr="00470588" w:rsidRDefault="00470588" w:rsidP="00470588">
            <w:pPr>
              <w:rPr>
                <w:lang w:val="es-MX"/>
              </w:rPr>
            </w:pPr>
            <w:r w:rsidRPr="00470588">
              <w:rPr>
                <w:lang w:val="es-MX"/>
              </w:rPr>
              <w:t>4</w:t>
            </w:r>
          </w:p>
        </w:tc>
        <w:tc>
          <w:tcPr>
            <w:tcW w:w="1559" w:type="dxa"/>
            <w:shd w:val="clear" w:color="auto" w:fill="FFFFFF" w:themeFill="background1"/>
          </w:tcPr>
          <w:p w14:paraId="1456C738" w14:textId="77777777" w:rsidR="00470588" w:rsidRPr="00470588" w:rsidRDefault="00470588" w:rsidP="00470588">
            <w:pPr>
              <w:cnfStyle w:val="000000100000" w:firstRow="0" w:lastRow="0" w:firstColumn="0" w:lastColumn="0" w:oddVBand="0" w:evenVBand="0" w:oddHBand="1" w:evenHBand="0" w:firstRowFirstColumn="0" w:firstRowLastColumn="0" w:lastRowFirstColumn="0" w:lastRowLastColumn="0"/>
              <w:rPr>
                <w:lang w:val="es-MX"/>
              </w:rPr>
            </w:pPr>
            <w:r w:rsidRPr="00470588">
              <w:rPr>
                <w:lang w:val="es-MX"/>
              </w:rPr>
              <w:t>$ 1,200</w:t>
            </w:r>
          </w:p>
        </w:tc>
      </w:tr>
      <w:tr w:rsidR="00470588" w:rsidRPr="00470588" w14:paraId="025F5366" w14:textId="77777777" w:rsidTr="00941475">
        <w:trPr>
          <w:trHeight w:val="419"/>
          <w:jc w:val="center"/>
        </w:trPr>
        <w:tc>
          <w:tcPr>
            <w:cnfStyle w:val="000010000000" w:firstRow="0" w:lastRow="0" w:firstColumn="0" w:lastColumn="0" w:oddVBand="1" w:evenVBand="0" w:oddHBand="0" w:evenHBand="0" w:firstRowFirstColumn="0" w:firstRowLastColumn="0" w:lastRowFirstColumn="0" w:lastRowLastColumn="0"/>
            <w:tcW w:w="2694" w:type="dxa"/>
            <w:tcBorders>
              <w:bottom w:val="single" w:sz="4" w:space="0" w:color="auto"/>
            </w:tcBorders>
            <w:shd w:val="clear" w:color="auto" w:fill="FFFFFF" w:themeFill="background1"/>
          </w:tcPr>
          <w:p w14:paraId="1666974A" w14:textId="77777777" w:rsidR="00470588" w:rsidRPr="00470588" w:rsidRDefault="00470588" w:rsidP="00470588">
            <w:pPr>
              <w:rPr>
                <w:lang w:val="es-MX"/>
              </w:rPr>
            </w:pPr>
            <w:r w:rsidRPr="00470588">
              <w:rPr>
                <w:lang w:val="es-MX"/>
              </w:rPr>
              <w:t>Papel bond en paquete de 500 unidades</w:t>
            </w:r>
          </w:p>
        </w:tc>
        <w:tc>
          <w:tcPr>
            <w:tcW w:w="709" w:type="dxa"/>
            <w:tcBorders>
              <w:bottom w:val="single" w:sz="4" w:space="0" w:color="auto"/>
            </w:tcBorders>
            <w:shd w:val="clear" w:color="auto" w:fill="FFFFFF" w:themeFill="background1"/>
          </w:tcPr>
          <w:p w14:paraId="78C6B70A" w14:textId="77777777" w:rsidR="00470588" w:rsidRPr="00470588" w:rsidRDefault="00470588" w:rsidP="00470588">
            <w:pPr>
              <w:cnfStyle w:val="000000000000" w:firstRow="0" w:lastRow="0" w:firstColumn="0" w:lastColumn="0" w:oddVBand="0" w:evenVBand="0" w:oddHBand="0" w:evenHBand="0" w:firstRowFirstColumn="0" w:firstRowLastColumn="0" w:lastRowFirstColumn="0" w:lastRowLastColumn="0"/>
              <w:rPr>
                <w:lang w:val="es-PE"/>
              </w:rPr>
            </w:pPr>
            <w:r w:rsidRPr="00470588">
              <w:rPr>
                <w:lang w:val="es-PE"/>
              </w:rPr>
              <w:t>M</w:t>
            </w:r>
          </w:p>
        </w:tc>
        <w:tc>
          <w:tcPr>
            <w:cnfStyle w:val="000010000000" w:firstRow="0" w:lastRow="0" w:firstColumn="0" w:lastColumn="0" w:oddVBand="1" w:evenVBand="0" w:oddHBand="0" w:evenHBand="0" w:firstRowFirstColumn="0" w:firstRowLastColumn="0" w:lastRowFirstColumn="0" w:lastRowLastColumn="0"/>
            <w:tcW w:w="2126" w:type="dxa"/>
            <w:tcBorders>
              <w:bottom w:val="single" w:sz="4" w:space="0" w:color="auto"/>
            </w:tcBorders>
            <w:shd w:val="clear" w:color="auto" w:fill="FFFFFF" w:themeFill="background1"/>
          </w:tcPr>
          <w:p w14:paraId="7A68ED92" w14:textId="77777777" w:rsidR="00470588" w:rsidRPr="00470588" w:rsidRDefault="00470588" w:rsidP="00470588">
            <w:pPr>
              <w:rPr>
                <w:lang w:val="es-PE"/>
              </w:rPr>
            </w:pPr>
            <w:r w:rsidRPr="00470588">
              <w:rPr>
                <w:lang w:val="es-PE"/>
              </w:rPr>
              <w:t>M</w:t>
            </w:r>
          </w:p>
        </w:tc>
        <w:tc>
          <w:tcPr>
            <w:tcW w:w="1257" w:type="dxa"/>
            <w:tcBorders>
              <w:bottom w:val="single" w:sz="4" w:space="0" w:color="auto"/>
            </w:tcBorders>
            <w:shd w:val="clear" w:color="auto" w:fill="FFFFFF" w:themeFill="background1"/>
          </w:tcPr>
          <w:p w14:paraId="266EEC75" w14:textId="77777777" w:rsidR="00470588" w:rsidRPr="00470588" w:rsidRDefault="00470588" w:rsidP="00470588">
            <w:pPr>
              <w:cnfStyle w:val="000000000000" w:firstRow="0" w:lastRow="0" w:firstColumn="0" w:lastColumn="0" w:oddVBand="0" w:evenVBand="0" w:oddHBand="0" w:evenHBand="0" w:firstRowFirstColumn="0" w:firstRowLastColumn="0" w:lastRowFirstColumn="0" w:lastRowLastColumn="0"/>
              <w:rPr>
                <w:lang w:val="es-PE"/>
              </w:rPr>
            </w:pPr>
            <w:r w:rsidRPr="00470588">
              <w:rPr>
                <w:lang w:val="es-PE"/>
              </w:rPr>
              <w:t>$ 7,000</w:t>
            </w:r>
          </w:p>
        </w:tc>
        <w:tc>
          <w:tcPr>
            <w:cnfStyle w:val="000010000000" w:firstRow="0" w:lastRow="0" w:firstColumn="0" w:lastColumn="0" w:oddVBand="1" w:evenVBand="0" w:oddHBand="0" w:evenHBand="0" w:firstRowFirstColumn="0" w:firstRowLastColumn="0" w:lastRowFirstColumn="0" w:lastRowLastColumn="0"/>
            <w:tcW w:w="1578" w:type="dxa"/>
            <w:tcBorders>
              <w:bottom w:val="single" w:sz="4" w:space="0" w:color="auto"/>
            </w:tcBorders>
            <w:shd w:val="clear" w:color="auto" w:fill="FFFFFF" w:themeFill="background1"/>
          </w:tcPr>
          <w:p w14:paraId="08720612" w14:textId="77777777" w:rsidR="00470588" w:rsidRPr="00470588" w:rsidRDefault="00470588" w:rsidP="00470588">
            <w:pPr>
              <w:rPr>
                <w:lang w:val="es-MX"/>
              </w:rPr>
            </w:pPr>
            <w:r w:rsidRPr="00470588">
              <w:rPr>
                <w:lang w:val="es-MX"/>
              </w:rPr>
              <w:t>2</w:t>
            </w:r>
          </w:p>
        </w:tc>
        <w:tc>
          <w:tcPr>
            <w:tcW w:w="1559" w:type="dxa"/>
            <w:tcBorders>
              <w:bottom w:val="single" w:sz="4" w:space="0" w:color="auto"/>
            </w:tcBorders>
            <w:shd w:val="clear" w:color="auto" w:fill="FFFFFF" w:themeFill="background1"/>
          </w:tcPr>
          <w:p w14:paraId="195F918B" w14:textId="77777777" w:rsidR="00470588" w:rsidRPr="00470588" w:rsidRDefault="00470588" w:rsidP="00470588">
            <w:pPr>
              <w:cnfStyle w:val="000000000000" w:firstRow="0" w:lastRow="0" w:firstColumn="0" w:lastColumn="0" w:oddVBand="0" w:evenVBand="0" w:oddHBand="0" w:evenHBand="0" w:firstRowFirstColumn="0" w:firstRowLastColumn="0" w:lastRowFirstColumn="0" w:lastRowLastColumn="0"/>
              <w:rPr>
                <w:lang w:val="es-MX"/>
              </w:rPr>
            </w:pPr>
            <w:r w:rsidRPr="00470588">
              <w:rPr>
                <w:lang w:val="es-MX"/>
              </w:rPr>
              <w:t>$ 14,000</w:t>
            </w:r>
          </w:p>
        </w:tc>
      </w:tr>
    </w:tbl>
    <w:p w14:paraId="55DADD23" w14:textId="77777777" w:rsidR="003350EC" w:rsidRPr="00470588" w:rsidRDefault="003350EC" w:rsidP="000C73FA"/>
    <w:p w14:paraId="024DCA5D" w14:textId="77777777" w:rsidR="003350EC" w:rsidRPr="00470588" w:rsidRDefault="003350EC" w:rsidP="000C73FA"/>
    <w:p w14:paraId="5BC6E607" w14:textId="77777777" w:rsidR="003350EC" w:rsidRPr="00470588" w:rsidRDefault="003350EC" w:rsidP="000C73FA"/>
    <w:p w14:paraId="04CDF108" w14:textId="77777777" w:rsidR="003350EC" w:rsidRDefault="003350EC" w:rsidP="000C73FA"/>
    <w:p w14:paraId="78FB056F" w14:textId="77777777" w:rsidR="00612DD5" w:rsidRDefault="00612DD5" w:rsidP="000C73FA"/>
    <w:p w14:paraId="6431E560" w14:textId="77777777" w:rsidR="00612DD5" w:rsidRDefault="00612DD5" w:rsidP="000C73FA"/>
    <w:p w14:paraId="5FADC38D" w14:textId="77777777" w:rsidR="00612DD5" w:rsidRDefault="00612DD5" w:rsidP="000C73FA"/>
    <w:p w14:paraId="67C95913" w14:textId="77777777" w:rsidR="00612DD5" w:rsidRDefault="00612DD5" w:rsidP="000C73FA"/>
    <w:p w14:paraId="54DD3317" w14:textId="77777777" w:rsidR="00612DD5" w:rsidRDefault="00612DD5" w:rsidP="000C73FA"/>
    <w:p w14:paraId="5C702ABC" w14:textId="77777777" w:rsidR="00612DD5" w:rsidRDefault="00612DD5" w:rsidP="000C73FA"/>
    <w:p w14:paraId="4AFE40B8" w14:textId="77777777" w:rsidR="00612DD5" w:rsidRDefault="00612DD5" w:rsidP="000C73FA"/>
    <w:p w14:paraId="51A45164" w14:textId="77777777" w:rsidR="00612DD5" w:rsidRDefault="00612DD5" w:rsidP="000C73FA"/>
    <w:p w14:paraId="6DD04548" w14:textId="77777777" w:rsidR="00612DD5" w:rsidRDefault="00612DD5" w:rsidP="000C73FA"/>
    <w:p w14:paraId="71E18234" w14:textId="77777777" w:rsidR="00612DD5" w:rsidRDefault="00612DD5" w:rsidP="000C73FA"/>
    <w:p w14:paraId="698A80EA" w14:textId="77777777" w:rsidR="00612DD5" w:rsidRPr="00470588" w:rsidRDefault="00612DD5" w:rsidP="000C73FA"/>
    <w:p w14:paraId="1BF5DA06" w14:textId="0A01084E" w:rsidR="000C73FA" w:rsidRPr="00470588" w:rsidRDefault="000C73FA" w:rsidP="000A0835">
      <w:pPr>
        <w:pStyle w:val="Heading1"/>
        <w:rPr>
          <w:rFonts w:ascii="Arial" w:hAnsi="Arial" w:cs="Arial"/>
          <w:b/>
          <w:bCs/>
          <w:color w:val="auto"/>
          <w:sz w:val="24"/>
          <w:szCs w:val="24"/>
        </w:rPr>
        <w:sectPr w:rsidR="000C73FA" w:rsidRPr="00470588" w:rsidSect="004B298A">
          <w:headerReference w:type="default" r:id="rId12"/>
          <w:footerReference w:type="default" r:id="rId13"/>
          <w:endnotePr>
            <w:numFmt w:val="decimal"/>
          </w:endnotePr>
          <w:pgSz w:w="11906" w:h="16838"/>
          <w:pgMar w:top="1417" w:right="1701" w:bottom="1417" w:left="1701" w:header="708" w:footer="708" w:gutter="0"/>
          <w:pgNumType w:start="1"/>
          <w:cols w:space="708"/>
          <w:docGrid w:linePitch="360"/>
        </w:sectPr>
      </w:pPr>
      <w:bookmarkStart w:id="87" w:name="_Toc178713991"/>
      <w:r w:rsidRPr="00470588">
        <w:rPr>
          <w:rFonts w:ascii="Arial" w:hAnsi="Arial" w:cs="Arial"/>
          <w:b/>
          <w:bCs/>
          <w:color w:val="auto"/>
          <w:sz w:val="24"/>
          <w:szCs w:val="24"/>
        </w:rPr>
        <w:lastRenderedPageBreak/>
        <w:t>REFERENCIAS BIBLIOGRÁFICAS</w:t>
      </w:r>
      <w:bookmarkEnd w:id="87"/>
    </w:p>
    <w:p w14:paraId="334C830E" w14:textId="48E96576" w:rsidR="000C73FA" w:rsidRPr="00470588" w:rsidRDefault="004B298A" w:rsidP="004B298A">
      <w:pPr>
        <w:pStyle w:val="Heading2"/>
        <w:rPr>
          <w:rFonts w:ascii="Arial" w:hAnsi="Arial" w:cs="Arial"/>
          <w:b/>
          <w:bCs/>
          <w:color w:val="auto"/>
          <w:sz w:val="24"/>
          <w:szCs w:val="24"/>
        </w:rPr>
      </w:pPr>
      <w:bookmarkStart w:id="88" w:name="_Toc178713992"/>
      <w:r w:rsidRPr="00470588">
        <w:rPr>
          <w:rFonts w:ascii="Arial" w:hAnsi="Arial" w:cs="Arial"/>
          <w:b/>
          <w:bCs/>
          <w:color w:val="auto"/>
          <w:sz w:val="24"/>
          <w:szCs w:val="24"/>
        </w:rPr>
        <w:lastRenderedPageBreak/>
        <w:t>ANEXOS</w:t>
      </w:r>
      <w:bookmarkEnd w:id="88"/>
    </w:p>
    <w:p w14:paraId="06FC7F20" w14:textId="46674BE2" w:rsidR="002609B4" w:rsidRPr="00470588" w:rsidRDefault="002609B4" w:rsidP="002609B4">
      <w:pPr>
        <w:rPr>
          <w:bCs/>
        </w:rPr>
      </w:pPr>
      <w:r w:rsidRPr="00470588">
        <w:rPr>
          <w:bCs/>
        </w:rPr>
        <w:t>Anexo 1</w:t>
      </w:r>
    </w:p>
    <w:p w14:paraId="1FA59720" w14:textId="77777777" w:rsidR="002609B4" w:rsidRPr="0043049E" w:rsidRDefault="002609B4" w:rsidP="002609B4">
      <w:pPr>
        <w:spacing w:line="360" w:lineRule="auto"/>
        <w:jc w:val="center"/>
        <w:rPr>
          <w:b/>
          <w:lang w:val="en-US"/>
        </w:rPr>
      </w:pPr>
      <w:r w:rsidRPr="0043049E">
        <w:rPr>
          <w:b/>
          <w:lang w:val="en-US"/>
        </w:rPr>
        <w:t>Neuropathy Disability Score (NDS modificado)</w:t>
      </w:r>
    </w:p>
    <w:tbl>
      <w:tblPr>
        <w:tblStyle w:val="TableGrid"/>
        <w:tblW w:w="0" w:type="auto"/>
        <w:tblLook w:val="04A0" w:firstRow="1" w:lastRow="0" w:firstColumn="1" w:lastColumn="0" w:noHBand="0" w:noVBand="1"/>
      </w:tblPr>
      <w:tblGrid>
        <w:gridCol w:w="4419"/>
        <w:gridCol w:w="4409"/>
      </w:tblGrid>
      <w:tr w:rsidR="002609B4" w:rsidRPr="00470588" w14:paraId="4FA86C4E" w14:textId="77777777" w:rsidTr="00941475">
        <w:tc>
          <w:tcPr>
            <w:tcW w:w="8978" w:type="dxa"/>
            <w:gridSpan w:val="2"/>
          </w:tcPr>
          <w:p w14:paraId="2EA37411" w14:textId="77777777" w:rsidR="002609B4" w:rsidRPr="00470588" w:rsidRDefault="002609B4" w:rsidP="00941475">
            <w:pPr>
              <w:spacing w:line="360" w:lineRule="auto"/>
              <w:jc w:val="center"/>
              <w:rPr>
                <w:rFonts w:ascii="Arial" w:hAnsi="Arial" w:cs="Arial"/>
                <w:b/>
                <w:sz w:val="24"/>
                <w:szCs w:val="24"/>
              </w:rPr>
            </w:pPr>
            <w:r w:rsidRPr="00470588">
              <w:rPr>
                <w:rFonts w:ascii="Arial" w:hAnsi="Arial" w:cs="Arial"/>
                <w:b/>
                <w:sz w:val="24"/>
                <w:szCs w:val="24"/>
              </w:rPr>
              <w:t>Puntuación máxima 10 puntos (ambos pies)</w:t>
            </w:r>
          </w:p>
        </w:tc>
      </w:tr>
      <w:tr w:rsidR="002609B4" w:rsidRPr="00470588" w14:paraId="25E36559" w14:textId="77777777" w:rsidTr="00941475">
        <w:tc>
          <w:tcPr>
            <w:tcW w:w="4489" w:type="dxa"/>
          </w:tcPr>
          <w:p w14:paraId="0B4FD068"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Signos ligeros</w:t>
            </w:r>
          </w:p>
        </w:tc>
        <w:tc>
          <w:tcPr>
            <w:tcW w:w="4489" w:type="dxa"/>
          </w:tcPr>
          <w:p w14:paraId="0FFADC55"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3-5 puntos</w:t>
            </w:r>
          </w:p>
        </w:tc>
      </w:tr>
      <w:tr w:rsidR="002609B4" w:rsidRPr="00470588" w14:paraId="228BB9B6" w14:textId="77777777" w:rsidTr="00941475">
        <w:tc>
          <w:tcPr>
            <w:tcW w:w="4489" w:type="dxa"/>
          </w:tcPr>
          <w:p w14:paraId="1FB3D137"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Signos moderados</w:t>
            </w:r>
          </w:p>
        </w:tc>
        <w:tc>
          <w:tcPr>
            <w:tcW w:w="4489" w:type="dxa"/>
          </w:tcPr>
          <w:p w14:paraId="506DE234"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6-8 puntos</w:t>
            </w:r>
          </w:p>
        </w:tc>
      </w:tr>
      <w:tr w:rsidR="002609B4" w:rsidRPr="00470588" w14:paraId="4B120FAB" w14:textId="77777777" w:rsidTr="00941475">
        <w:tc>
          <w:tcPr>
            <w:tcW w:w="4489" w:type="dxa"/>
          </w:tcPr>
          <w:p w14:paraId="65604645"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Signos severos</w:t>
            </w:r>
          </w:p>
        </w:tc>
        <w:tc>
          <w:tcPr>
            <w:tcW w:w="4489" w:type="dxa"/>
          </w:tcPr>
          <w:p w14:paraId="3974A606"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9-10 puntos</w:t>
            </w:r>
          </w:p>
        </w:tc>
      </w:tr>
    </w:tbl>
    <w:p w14:paraId="0EEFE4A5" w14:textId="77777777" w:rsidR="002609B4" w:rsidRPr="00470588" w:rsidRDefault="002609B4" w:rsidP="002609B4">
      <w:pPr>
        <w:spacing w:line="360" w:lineRule="auto"/>
      </w:pPr>
    </w:p>
    <w:tbl>
      <w:tblPr>
        <w:tblStyle w:val="TableGrid"/>
        <w:tblW w:w="0" w:type="auto"/>
        <w:tblLook w:val="04A0" w:firstRow="1" w:lastRow="0" w:firstColumn="1" w:lastColumn="0" w:noHBand="0" w:noVBand="1"/>
      </w:tblPr>
      <w:tblGrid>
        <w:gridCol w:w="1924"/>
        <w:gridCol w:w="1102"/>
        <w:gridCol w:w="1182"/>
        <w:gridCol w:w="1168"/>
        <w:gridCol w:w="1102"/>
        <w:gridCol w:w="1182"/>
        <w:gridCol w:w="1168"/>
      </w:tblGrid>
      <w:tr w:rsidR="002609B4" w:rsidRPr="00470588" w14:paraId="248E5BA7" w14:textId="77777777" w:rsidTr="00941475">
        <w:tc>
          <w:tcPr>
            <w:tcW w:w="1791" w:type="dxa"/>
          </w:tcPr>
          <w:p w14:paraId="24235965" w14:textId="77777777" w:rsidR="002609B4" w:rsidRPr="00470588" w:rsidRDefault="002609B4" w:rsidP="00941475">
            <w:pPr>
              <w:spacing w:line="360" w:lineRule="auto"/>
              <w:rPr>
                <w:rFonts w:ascii="Arial" w:hAnsi="Arial" w:cs="Arial"/>
                <w:b/>
                <w:sz w:val="24"/>
                <w:szCs w:val="24"/>
              </w:rPr>
            </w:pPr>
            <w:r w:rsidRPr="00470588">
              <w:rPr>
                <w:rFonts w:ascii="Arial" w:hAnsi="Arial" w:cs="Arial"/>
                <w:b/>
                <w:sz w:val="24"/>
                <w:szCs w:val="24"/>
              </w:rPr>
              <w:t>NDS</w:t>
            </w:r>
          </w:p>
        </w:tc>
        <w:tc>
          <w:tcPr>
            <w:tcW w:w="3631" w:type="dxa"/>
            <w:gridSpan w:val="3"/>
          </w:tcPr>
          <w:p w14:paraId="7B294E28" w14:textId="77777777" w:rsidR="002609B4" w:rsidRPr="00470588" w:rsidRDefault="002609B4" w:rsidP="00941475">
            <w:pPr>
              <w:spacing w:line="360" w:lineRule="auto"/>
              <w:rPr>
                <w:rFonts w:ascii="Arial" w:hAnsi="Arial" w:cs="Arial"/>
                <w:b/>
                <w:sz w:val="24"/>
                <w:szCs w:val="24"/>
              </w:rPr>
            </w:pPr>
            <w:r w:rsidRPr="00470588">
              <w:rPr>
                <w:rFonts w:ascii="Arial" w:hAnsi="Arial" w:cs="Arial"/>
                <w:b/>
                <w:sz w:val="24"/>
                <w:szCs w:val="24"/>
              </w:rPr>
              <w:t>Pie derecho</w:t>
            </w:r>
          </w:p>
        </w:tc>
        <w:tc>
          <w:tcPr>
            <w:tcW w:w="3632" w:type="dxa"/>
            <w:gridSpan w:val="3"/>
          </w:tcPr>
          <w:p w14:paraId="7AA845E5" w14:textId="77777777" w:rsidR="002609B4" w:rsidRPr="00470588" w:rsidRDefault="002609B4" w:rsidP="00941475">
            <w:pPr>
              <w:spacing w:line="360" w:lineRule="auto"/>
              <w:rPr>
                <w:rFonts w:ascii="Arial" w:hAnsi="Arial" w:cs="Arial"/>
                <w:b/>
                <w:sz w:val="24"/>
                <w:szCs w:val="24"/>
              </w:rPr>
            </w:pPr>
            <w:r w:rsidRPr="00470588">
              <w:rPr>
                <w:rFonts w:ascii="Arial" w:hAnsi="Arial" w:cs="Arial"/>
                <w:b/>
                <w:sz w:val="24"/>
                <w:szCs w:val="24"/>
              </w:rPr>
              <w:t>Pie izquierdo</w:t>
            </w:r>
          </w:p>
        </w:tc>
      </w:tr>
      <w:tr w:rsidR="002609B4" w:rsidRPr="00470588" w14:paraId="391FC110" w14:textId="77777777" w:rsidTr="00941475">
        <w:trPr>
          <w:trHeight w:val="540"/>
        </w:trPr>
        <w:tc>
          <w:tcPr>
            <w:tcW w:w="1791" w:type="dxa"/>
            <w:vMerge w:val="restart"/>
          </w:tcPr>
          <w:p w14:paraId="045EDA15" w14:textId="77777777" w:rsidR="002609B4" w:rsidRPr="00470588" w:rsidRDefault="002609B4" w:rsidP="00941475">
            <w:pPr>
              <w:spacing w:line="360" w:lineRule="auto"/>
              <w:rPr>
                <w:rFonts w:ascii="Arial" w:hAnsi="Arial" w:cs="Arial"/>
                <w:b/>
                <w:sz w:val="24"/>
                <w:szCs w:val="24"/>
              </w:rPr>
            </w:pPr>
            <w:r w:rsidRPr="00470588">
              <w:rPr>
                <w:rFonts w:ascii="Arial" w:hAnsi="Arial" w:cs="Arial"/>
                <w:b/>
                <w:sz w:val="24"/>
                <w:szCs w:val="24"/>
              </w:rPr>
              <w:t>Reflejo Aquileo</w:t>
            </w:r>
          </w:p>
        </w:tc>
        <w:tc>
          <w:tcPr>
            <w:tcW w:w="1184" w:type="dxa"/>
            <w:tcBorders>
              <w:bottom w:val="single" w:sz="4" w:space="0" w:color="auto"/>
            </w:tcBorders>
          </w:tcPr>
          <w:p w14:paraId="45E104E3"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 xml:space="preserve">normal </w:t>
            </w:r>
          </w:p>
        </w:tc>
        <w:tc>
          <w:tcPr>
            <w:tcW w:w="1227" w:type="dxa"/>
            <w:tcBorders>
              <w:bottom w:val="single" w:sz="4" w:space="0" w:color="auto"/>
            </w:tcBorders>
          </w:tcPr>
          <w:p w14:paraId="64854736"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refuerzo</w:t>
            </w:r>
          </w:p>
        </w:tc>
        <w:tc>
          <w:tcPr>
            <w:tcW w:w="1220" w:type="dxa"/>
            <w:tcBorders>
              <w:bottom w:val="single" w:sz="4" w:space="0" w:color="auto"/>
            </w:tcBorders>
          </w:tcPr>
          <w:p w14:paraId="6809DF25"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ausente</w:t>
            </w:r>
          </w:p>
        </w:tc>
        <w:tc>
          <w:tcPr>
            <w:tcW w:w="1184" w:type="dxa"/>
            <w:tcBorders>
              <w:bottom w:val="single" w:sz="4" w:space="0" w:color="auto"/>
            </w:tcBorders>
          </w:tcPr>
          <w:p w14:paraId="5DC28A4C"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 xml:space="preserve">normal </w:t>
            </w:r>
          </w:p>
        </w:tc>
        <w:tc>
          <w:tcPr>
            <w:tcW w:w="1228" w:type="dxa"/>
            <w:tcBorders>
              <w:bottom w:val="single" w:sz="4" w:space="0" w:color="auto"/>
            </w:tcBorders>
          </w:tcPr>
          <w:p w14:paraId="0B40691E"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refuerzo</w:t>
            </w:r>
          </w:p>
        </w:tc>
        <w:tc>
          <w:tcPr>
            <w:tcW w:w="1220" w:type="dxa"/>
            <w:tcBorders>
              <w:bottom w:val="single" w:sz="4" w:space="0" w:color="auto"/>
            </w:tcBorders>
          </w:tcPr>
          <w:p w14:paraId="410D5FC4"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ausente</w:t>
            </w:r>
          </w:p>
        </w:tc>
      </w:tr>
      <w:tr w:rsidR="002609B4" w:rsidRPr="00470588" w14:paraId="3D6D4B2B" w14:textId="77777777" w:rsidTr="00941475">
        <w:trPr>
          <w:trHeight w:val="450"/>
        </w:trPr>
        <w:tc>
          <w:tcPr>
            <w:tcW w:w="1791" w:type="dxa"/>
            <w:vMerge/>
          </w:tcPr>
          <w:p w14:paraId="123E5B02" w14:textId="77777777" w:rsidR="002609B4" w:rsidRPr="00470588" w:rsidRDefault="002609B4" w:rsidP="00941475">
            <w:pPr>
              <w:spacing w:line="360" w:lineRule="auto"/>
              <w:rPr>
                <w:rFonts w:ascii="Arial" w:hAnsi="Arial" w:cs="Arial"/>
                <w:b/>
                <w:sz w:val="24"/>
                <w:szCs w:val="24"/>
              </w:rPr>
            </w:pPr>
          </w:p>
        </w:tc>
        <w:tc>
          <w:tcPr>
            <w:tcW w:w="1184" w:type="dxa"/>
            <w:tcBorders>
              <w:top w:val="single" w:sz="4" w:space="0" w:color="auto"/>
            </w:tcBorders>
          </w:tcPr>
          <w:p w14:paraId="7D36072E"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0</w:t>
            </w:r>
          </w:p>
        </w:tc>
        <w:tc>
          <w:tcPr>
            <w:tcW w:w="1227" w:type="dxa"/>
            <w:tcBorders>
              <w:top w:val="single" w:sz="4" w:space="0" w:color="auto"/>
            </w:tcBorders>
          </w:tcPr>
          <w:p w14:paraId="1CBE7D67"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1</w:t>
            </w:r>
          </w:p>
        </w:tc>
        <w:tc>
          <w:tcPr>
            <w:tcW w:w="1220" w:type="dxa"/>
            <w:tcBorders>
              <w:top w:val="single" w:sz="4" w:space="0" w:color="auto"/>
            </w:tcBorders>
          </w:tcPr>
          <w:p w14:paraId="52DD9E7A"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2</w:t>
            </w:r>
          </w:p>
        </w:tc>
        <w:tc>
          <w:tcPr>
            <w:tcW w:w="1184" w:type="dxa"/>
            <w:tcBorders>
              <w:top w:val="single" w:sz="4" w:space="0" w:color="auto"/>
            </w:tcBorders>
          </w:tcPr>
          <w:p w14:paraId="1B1581CB"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0</w:t>
            </w:r>
          </w:p>
        </w:tc>
        <w:tc>
          <w:tcPr>
            <w:tcW w:w="1228" w:type="dxa"/>
            <w:tcBorders>
              <w:top w:val="single" w:sz="4" w:space="0" w:color="auto"/>
            </w:tcBorders>
          </w:tcPr>
          <w:p w14:paraId="23210990"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1</w:t>
            </w:r>
          </w:p>
        </w:tc>
        <w:tc>
          <w:tcPr>
            <w:tcW w:w="1220" w:type="dxa"/>
            <w:tcBorders>
              <w:top w:val="single" w:sz="4" w:space="0" w:color="auto"/>
            </w:tcBorders>
          </w:tcPr>
          <w:p w14:paraId="4578915C"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2</w:t>
            </w:r>
          </w:p>
        </w:tc>
      </w:tr>
      <w:tr w:rsidR="002609B4" w:rsidRPr="00470588" w14:paraId="0C0840E0" w14:textId="77777777" w:rsidTr="00941475">
        <w:trPr>
          <w:trHeight w:val="510"/>
        </w:trPr>
        <w:tc>
          <w:tcPr>
            <w:tcW w:w="1791" w:type="dxa"/>
            <w:vMerge w:val="restart"/>
          </w:tcPr>
          <w:p w14:paraId="24E974CF" w14:textId="77777777" w:rsidR="002609B4" w:rsidRPr="00470588" w:rsidRDefault="002609B4" w:rsidP="00941475">
            <w:pPr>
              <w:spacing w:line="360" w:lineRule="auto"/>
              <w:rPr>
                <w:rFonts w:ascii="Arial" w:hAnsi="Arial" w:cs="Arial"/>
                <w:b/>
                <w:sz w:val="24"/>
                <w:szCs w:val="24"/>
              </w:rPr>
            </w:pPr>
            <w:r w:rsidRPr="00470588">
              <w:rPr>
                <w:rFonts w:ascii="Arial" w:hAnsi="Arial" w:cs="Arial"/>
                <w:b/>
                <w:sz w:val="24"/>
                <w:szCs w:val="24"/>
              </w:rPr>
              <w:t>Monofilamento</w:t>
            </w:r>
          </w:p>
          <w:p w14:paraId="2B32E7EA" w14:textId="77777777" w:rsidR="002609B4" w:rsidRPr="00470588" w:rsidRDefault="002609B4" w:rsidP="00941475">
            <w:pPr>
              <w:spacing w:line="360" w:lineRule="auto"/>
              <w:rPr>
                <w:rFonts w:ascii="Arial" w:hAnsi="Arial" w:cs="Arial"/>
                <w:b/>
                <w:sz w:val="24"/>
                <w:szCs w:val="24"/>
              </w:rPr>
            </w:pPr>
          </w:p>
        </w:tc>
        <w:tc>
          <w:tcPr>
            <w:tcW w:w="1184" w:type="dxa"/>
            <w:tcBorders>
              <w:bottom w:val="single" w:sz="4" w:space="0" w:color="auto"/>
            </w:tcBorders>
          </w:tcPr>
          <w:p w14:paraId="5AF7D71F"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normal</w:t>
            </w:r>
          </w:p>
        </w:tc>
        <w:tc>
          <w:tcPr>
            <w:tcW w:w="2447" w:type="dxa"/>
            <w:gridSpan w:val="2"/>
            <w:tcBorders>
              <w:bottom w:val="single" w:sz="4" w:space="0" w:color="auto"/>
            </w:tcBorders>
          </w:tcPr>
          <w:p w14:paraId="7104954D"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ausente</w:t>
            </w:r>
          </w:p>
        </w:tc>
        <w:tc>
          <w:tcPr>
            <w:tcW w:w="1184" w:type="dxa"/>
            <w:tcBorders>
              <w:bottom w:val="single" w:sz="4" w:space="0" w:color="auto"/>
            </w:tcBorders>
          </w:tcPr>
          <w:p w14:paraId="57E0B165"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normal</w:t>
            </w:r>
          </w:p>
        </w:tc>
        <w:tc>
          <w:tcPr>
            <w:tcW w:w="2448" w:type="dxa"/>
            <w:gridSpan w:val="2"/>
            <w:tcBorders>
              <w:bottom w:val="single" w:sz="4" w:space="0" w:color="auto"/>
            </w:tcBorders>
          </w:tcPr>
          <w:p w14:paraId="6202446F"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ausente</w:t>
            </w:r>
          </w:p>
        </w:tc>
      </w:tr>
      <w:tr w:rsidR="002609B4" w:rsidRPr="00470588" w14:paraId="34A755CC" w14:textId="77777777" w:rsidTr="00941475">
        <w:trPr>
          <w:trHeight w:val="630"/>
        </w:trPr>
        <w:tc>
          <w:tcPr>
            <w:tcW w:w="1791" w:type="dxa"/>
            <w:vMerge/>
          </w:tcPr>
          <w:p w14:paraId="33AD9017" w14:textId="77777777" w:rsidR="002609B4" w:rsidRPr="00470588" w:rsidRDefault="002609B4" w:rsidP="00941475">
            <w:pPr>
              <w:spacing w:line="360" w:lineRule="auto"/>
              <w:rPr>
                <w:rFonts w:ascii="Arial" w:hAnsi="Arial" w:cs="Arial"/>
                <w:b/>
                <w:sz w:val="24"/>
                <w:szCs w:val="24"/>
              </w:rPr>
            </w:pPr>
          </w:p>
        </w:tc>
        <w:tc>
          <w:tcPr>
            <w:tcW w:w="1184" w:type="dxa"/>
            <w:tcBorders>
              <w:top w:val="single" w:sz="4" w:space="0" w:color="auto"/>
            </w:tcBorders>
          </w:tcPr>
          <w:p w14:paraId="247D9D78"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0</w:t>
            </w:r>
          </w:p>
        </w:tc>
        <w:tc>
          <w:tcPr>
            <w:tcW w:w="2447" w:type="dxa"/>
            <w:gridSpan w:val="2"/>
            <w:tcBorders>
              <w:top w:val="single" w:sz="4" w:space="0" w:color="auto"/>
            </w:tcBorders>
          </w:tcPr>
          <w:p w14:paraId="020ED9A4"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1</w:t>
            </w:r>
          </w:p>
        </w:tc>
        <w:tc>
          <w:tcPr>
            <w:tcW w:w="1184" w:type="dxa"/>
            <w:tcBorders>
              <w:top w:val="single" w:sz="4" w:space="0" w:color="auto"/>
            </w:tcBorders>
          </w:tcPr>
          <w:p w14:paraId="0EC02247"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0</w:t>
            </w:r>
          </w:p>
        </w:tc>
        <w:tc>
          <w:tcPr>
            <w:tcW w:w="2448" w:type="dxa"/>
            <w:gridSpan w:val="2"/>
            <w:tcBorders>
              <w:top w:val="single" w:sz="4" w:space="0" w:color="auto"/>
            </w:tcBorders>
          </w:tcPr>
          <w:p w14:paraId="7BEFAC06"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1</w:t>
            </w:r>
          </w:p>
        </w:tc>
      </w:tr>
      <w:tr w:rsidR="002609B4" w:rsidRPr="00470588" w14:paraId="6ED2C284" w14:textId="77777777" w:rsidTr="00941475">
        <w:trPr>
          <w:trHeight w:val="660"/>
        </w:trPr>
        <w:tc>
          <w:tcPr>
            <w:tcW w:w="1791" w:type="dxa"/>
            <w:vMerge w:val="restart"/>
          </w:tcPr>
          <w:p w14:paraId="12933114" w14:textId="77777777" w:rsidR="002609B4" w:rsidRPr="00470588" w:rsidRDefault="002609B4" w:rsidP="00941475">
            <w:pPr>
              <w:spacing w:line="360" w:lineRule="auto"/>
              <w:rPr>
                <w:rFonts w:ascii="Arial" w:hAnsi="Arial" w:cs="Arial"/>
                <w:b/>
                <w:sz w:val="24"/>
                <w:szCs w:val="24"/>
              </w:rPr>
            </w:pPr>
            <w:r w:rsidRPr="00470588">
              <w:rPr>
                <w:rFonts w:ascii="Arial" w:hAnsi="Arial" w:cs="Arial"/>
                <w:b/>
                <w:sz w:val="24"/>
                <w:szCs w:val="24"/>
              </w:rPr>
              <w:t>Vibración</w:t>
            </w:r>
          </w:p>
          <w:p w14:paraId="33CE880F" w14:textId="77777777" w:rsidR="002609B4" w:rsidRPr="00470588" w:rsidRDefault="002609B4" w:rsidP="00941475">
            <w:pPr>
              <w:spacing w:line="360" w:lineRule="auto"/>
              <w:rPr>
                <w:rFonts w:ascii="Arial" w:hAnsi="Arial" w:cs="Arial"/>
                <w:b/>
                <w:sz w:val="24"/>
                <w:szCs w:val="24"/>
              </w:rPr>
            </w:pPr>
          </w:p>
        </w:tc>
        <w:tc>
          <w:tcPr>
            <w:tcW w:w="1184" w:type="dxa"/>
            <w:tcBorders>
              <w:bottom w:val="single" w:sz="4" w:space="0" w:color="auto"/>
            </w:tcBorders>
          </w:tcPr>
          <w:p w14:paraId="15467F58"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normal</w:t>
            </w:r>
          </w:p>
        </w:tc>
        <w:tc>
          <w:tcPr>
            <w:tcW w:w="2447" w:type="dxa"/>
            <w:gridSpan w:val="2"/>
            <w:tcBorders>
              <w:bottom w:val="single" w:sz="4" w:space="0" w:color="auto"/>
            </w:tcBorders>
          </w:tcPr>
          <w:p w14:paraId="4C9008EB"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ausente</w:t>
            </w:r>
          </w:p>
        </w:tc>
        <w:tc>
          <w:tcPr>
            <w:tcW w:w="1184" w:type="dxa"/>
            <w:tcBorders>
              <w:bottom w:val="single" w:sz="4" w:space="0" w:color="auto"/>
            </w:tcBorders>
          </w:tcPr>
          <w:p w14:paraId="4CB2F0D1"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normal</w:t>
            </w:r>
          </w:p>
        </w:tc>
        <w:tc>
          <w:tcPr>
            <w:tcW w:w="2448" w:type="dxa"/>
            <w:gridSpan w:val="2"/>
            <w:tcBorders>
              <w:bottom w:val="single" w:sz="4" w:space="0" w:color="auto"/>
            </w:tcBorders>
          </w:tcPr>
          <w:p w14:paraId="07CD6CC7"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ausente</w:t>
            </w:r>
          </w:p>
        </w:tc>
      </w:tr>
      <w:tr w:rsidR="002609B4" w:rsidRPr="00470588" w14:paraId="32008608" w14:textId="77777777" w:rsidTr="00941475">
        <w:trPr>
          <w:trHeight w:val="480"/>
        </w:trPr>
        <w:tc>
          <w:tcPr>
            <w:tcW w:w="1791" w:type="dxa"/>
            <w:vMerge/>
          </w:tcPr>
          <w:p w14:paraId="267D32F2" w14:textId="77777777" w:rsidR="002609B4" w:rsidRPr="00470588" w:rsidRDefault="002609B4" w:rsidP="00941475">
            <w:pPr>
              <w:spacing w:line="360" w:lineRule="auto"/>
              <w:rPr>
                <w:rFonts w:ascii="Arial" w:hAnsi="Arial" w:cs="Arial"/>
                <w:b/>
                <w:sz w:val="24"/>
                <w:szCs w:val="24"/>
              </w:rPr>
            </w:pPr>
          </w:p>
        </w:tc>
        <w:tc>
          <w:tcPr>
            <w:tcW w:w="1184" w:type="dxa"/>
            <w:tcBorders>
              <w:top w:val="single" w:sz="4" w:space="0" w:color="auto"/>
            </w:tcBorders>
          </w:tcPr>
          <w:p w14:paraId="2C184475"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0</w:t>
            </w:r>
          </w:p>
        </w:tc>
        <w:tc>
          <w:tcPr>
            <w:tcW w:w="2447" w:type="dxa"/>
            <w:gridSpan w:val="2"/>
            <w:tcBorders>
              <w:top w:val="single" w:sz="4" w:space="0" w:color="auto"/>
            </w:tcBorders>
          </w:tcPr>
          <w:p w14:paraId="3A070E7A"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1</w:t>
            </w:r>
          </w:p>
        </w:tc>
        <w:tc>
          <w:tcPr>
            <w:tcW w:w="1184" w:type="dxa"/>
            <w:tcBorders>
              <w:top w:val="single" w:sz="4" w:space="0" w:color="auto"/>
            </w:tcBorders>
          </w:tcPr>
          <w:p w14:paraId="3BC32D38"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0</w:t>
            </w:r>
          </w:p>
        </w:tc>
        <w:tc>
          <w:tcPr>
            <w:tcW w:w="2448" w:type="dxa"/>
            <w:gridSpan w:val="2"/>
            <w:tcBorders>
              <w:top w:val="single" w:sz="4" w:space="0" w:color="auto"/>
            </w:tcBorders>
          </w:tcPr>
          <w:p w14:paraId="49AAA173"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1</w:t>
            </w:r>
          </w:p>
        </w:tc>
      </w:tr>
      <w:tr w:rsidR="002609B4" w:rsidRPr="00470588" w14:paraId="7BF17B48" w14:textId="77777777" w:rsidTr="00941475">
        <w:trPr>
          <w:trHeight w:val="540"/>
        </w:trPr>
        <w:tc>
          <w:tcPr>
            <w:tcW w:w="1791" w:type="dxa"/>
            <w:vMerge w:val="restart"/>
          </w:tcPr>
          <w:p w14:paraId="59229ECC" w14:textId="77777777" w:rsidR="002609B4" w:rsidRPr="00470588" w:rsidRDefault="002609B4" w:rsidP="00941475">
            <w:pPr>
              <w:spacing w:line="360" w:lineRule="auto"/>
              <w:rPr>
                <w:rFonts w:ascii="Arial" w:hAnsi="Arial" w:cs="Arial"/>
                <w:b/>
                <w:sz w:val="24"/>
                <w:szCs w:val="24"/>
              </w:rPr>
            </w:pPr>
            <w:r w:rsidRPr="00470588">
              <w:rPr>
                <w:rFonts w:ascii="Arial" w:hAnsi="Arial" w:cs="Arial"/>
                <w:b/>
                <w:sz w:val="24"/>
                <w:szCs w:val="24"/>
              </w:rPr>
              <w:t>Temperatura</w:t>
            </w:r>
          </w:p>
          <w:p w14:paraId="2032D34D" w14:textId="77777777" w:rsidR="002609B4" w:rsidRPr="00470588" w:rsidRDefault="002609B4" w:rsidP="00941475">
            <w:pPr>
              <w:spacing w:line="360" w:lineRule="auto"/>
              <w:rPr>
                <w:rFonts w:ascii="Arial" w:hAnsi="Arial" w:cs="Arial"/>
                <w:b/>
                <w:sz w:val="24"/>
                <w:szCs w:val="24"/>
              </w:rPr>
            </w:pPr>
          </w:p>
        </w:tc>
        <w:tc>
          <w:tcPr>
            <w:tcW w:w="1184" w:type="dxa"/>
            <w:tcBorders>
              <w:bottom w:val="single" w:sz="4" w:space="0" w:color="auto"/>
            </w:tcBorders>
          </w:tcPr>
          <w:p w14:paraId="58E0E69F"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normal</w:t>
            </w:r>
          </w:p>
        </w:tc>
        <w:tc>
          <w:tcPr>
            <w:tcW w:w="2447" w:type="dxa"/>
            <w:gridSpan w:val="2"/>
            <w:tcBorders>
              <w:bottom w:val="single" w:sz="4" w:space="0" w:color="auto"/>
            </w:tcBorders>
          </w:tcPr>
          <w:p w14:paraId="46FC3DB3"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ausente</w:t>
            </w:r>
          </w:p>
        </w:tc>
        <w:tc>
          <w:tcPr>
            <w:tcW w:w="1184" w:type="dxa"/>
            <w:tcBorders>
              <w:bottom w:val="single" w:sz="4" w:space="0" w:color="auto"/>
            </w:tcBorders>
          </w:tcPr>
          <w:p w14:paraId="55D7D0FF"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normal</w:t>
            </w:r>
          </w:p>
        </w:tc>
        <w:tc>
          <w:tcPr>
            <w:tcW w:w="2448" w:type="dxa"/>
            <w:gridSpan w:val="2"/>
            <w:tcBorders>
              <w:bottom w:val="single" w:sz="4" w:space="0" w:color="auto"/>
            </w:tcBorders>
          </w:tcPr>
          <w:p w14:paraId="53799FBA"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ausente</w:t>
            </w:r>
          </w:p>
        </w:tc>
      </w:tr>
      <w:tr w:rsidR="002609B4" w:rsidRPr="00470588" w14:paraId="1DC063C2" w14:textId="77777777" w:rsidTr="00941475">
        <w:trPr>
          <w:trHeight w:val="600"/>
        </w:trPr>
        <w:tc>
          <w:tcPr>
            <w:tcW w:w="1791" w:type="dxa"/>
            <w:vMerge/>
          </w:tcPr>
          <w:p w14:paraId="7A137BC1" w14:textId="77777777" w:rsidR="002609B4" w:rsidRPr="00470588" w:rsidRDefault="002609B4" w:rsidP="00941475">
            <w:pPr>
              <w:spacing w:line="360" w:lineRule="auto"/>
              <w:rPr>
                <w:rFonts w:ascii="Arial" w:hAnsi="Arial" w:cs="Arial"/>
                <w:b/>
                <w:sz w:val="24"/>
                <w:szCs w:val="24"/>
              </w:rPr>
            </w:pPr>
          </w:p>
        </w:tc>
        <w:tc>
          <w:tcPr>
            <w:tcW w:w="1184" w:type="dxa"/>
            <w:tcBorders>
              <w:top w:val="single" w:sz="4" w:space="0" w:color="auto"/>
            </w:tcBorders>
          </w:tcPr>
          <w:p w14:paraId="587F8C07"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0</w:t>
            </w:r>
          </w:p>
        </w:tc>
        <w:tc>
          <w:tcPr>
            <w:tcW w:w="2447" w:type="dxa"/>
            <w:gridSpan w:val="2"/>
            <w:tcBorders>
              <w:top w:val="single" w:sz="4" w:space="0" w:color="auto"/>
            </w:tcBorders>
          </w:tcPr>
          <w:p w14:paraId="302BDE8E"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1</w:t>
            </w:r>
          </w:p>
        </w:tc>
        <w:tc>
          <w:tcPr>
            <w:tcW w:w="1184" w:type="dxa"/>
            <w:tcBorders>
              <w:top w:val="single" w:sz="4" w:space="0" w:color="auto"/>
            </w:tcBorders>
          </w:tcPr>
          <w:p w14:paraId="1E05CAA6"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0</w:t>
            </w:r>
          </w:p>
        </w:tc>
        <w:tc>
          <w:tcPr>
            <w:tcW w:w="2448" w:type="dxa"/>
            <w:gridSpan w:val="2"/>
            <w:tcBorders>
              <w:top w:val="single" w:sz="4" w:space="0" w:color="auto"/>
            </w:tcBorders>
          </w:tcPr>
          <w:p w14:paraId="5F3C0CB5"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1</w:t>
            </w:r>
          </w:p>
        </w:tc>
      </w:tr>
      <w:tr w:rsidR="002609B4" w:rsidRPr="00470588" w14:paraId="444FCBBA" w14:textId="77777777" w:rsidTr="00941475">
        <w:tc>
          <w:tcPr>
            <w:tcW w:w="1791" w:type="dxa"/>
          </w:tcPr>
          <w:p w14:paraId="78BFC172" w14:textId="77777777" w:rsidR="002609B4" w:rsidRPr="00470588" w:rsidRDefault="002609B4" w:rsidP="00941475">
            <w:pPr>
              <w:spacing w:line="360" w:lineRule="auto"/>
              <w:rPr>
                <w:rFonts w:ascii="Arial" w:hAnsi="Arial" w:cs="Arial"/>
                <w:b/>
                <w:sz w:val="24"/>
                <w:szCs w:val="24"/>
              </w:rPr>
            </w:pPr>
            <w:r w:rsidRPr="00470588">
              <w:rPr>
                <w:rFonts w:ascii="Arial" w:hAnsi="Arial" w:cs="Arial"/>
                <w:b/>
                <w:sz w:val="24"/>
                <w:szCs w:val="24"/>
              </w:rPr>
              <w:t>Total por pie</w:t>
            </w:r>
          </w:p>
        </w:tc>
        <w:tc>
          <w:tcPr>
            <w:tcW w:w="1184" w:type="dxa"/>
          </w:tcPr>
          <w:p w14:paraId="6F6D268D" w14:textId="77777777" w:rsidR="002609B4" w:rsidRPr="00470588" w:rsidRDefault="002609B4" w:rsidP="00941475">
            <w:pPr>
              <w:spacing w:line="360" w:lineRule="auto"/>
              <w:rPr>
                <w:rFonts w:ascii="Arial" w:hAnsi="Arial" w:cs="Arial"/>
                <w:sz w:val="24"/>
                <w:szCs w:val="24"/>
              </w:rPr>
            </w:pPr>
          </w:p>
        </w:tc>
        <w:tc>
          <w:tcPr>
            <w:tcW w:w="2447" w:type="dxa"/>
            <w:gridSpan w:val="2"/>
          </w:tcPr>
          <w:p w14:paraId="496CDE0B" w14:textId="77777777" w:rsidR="002609B4" w:rsidRPr="00470588" w:rsidRDefault="002609B4" w:rsidP="00941475">
            <w:pPr>
              <w:spacing w:line="360" w:lineRule="auto"/>
              <w:rPr>
                <w:rFonts w:ascii="Arial" w:hAnsi="Arial" w:cs="Arial"/>
                <w:sz w:val="24"/>
                <w:szCs w:val="24"/>
              </w:rPr>
            </w:pPr>
          </w:p>
        </w:tc>
        <w:tc>
          <w:tcPr>
            <w:tcW w:w="1184" w:type="dxa"/>
          </w:tcPr>
          <w:p w14:paraId="708F1858" w14:textId="77777777" w:rsidR="002609B4" w:rsidRPr="00470588" w:rsidRDefault="002609B4" w:rsidP="00941475">
            <w:pPr>
              <w:spacing w:line="360" w:lineRule="auto"/>
              <w:rPr>
                <w:rFonts w:ascii="Arial" w:hAnsi="Arial" w:cs="Arial"/>
                <w:sz w:val="24"/>
                <w:szCs w:val="24"/>
              </w:rPr>
            </w:pPr>
          </w:p>
        </w:tc>
        <w:tc>
          <w:tcPr>
            <w:tcW w:w="2448" w:type="dxa"/>
            <w:gridSpan w:val="2"/>
          </w:tcPr>
          <w:p w14:paraId="3CA5EBB1" w14:textId="77777777" w:rsidR="002609B4" w:rsidRPr="00470588" w:rsidRDefault="002609B4" w:rsidP="00941475">
            <w:pPr>
              <w:spacing w:line="360" w:lineRule="auto"/>
              <w:rPr>
                <w:rFonts w:ascii="Arial" w:hAnsi="Arial" w:cs="Arial"/>
                <w:sz w:val="24"/>
                <w:szCs w:val="24"/>
              </w:rPr>
            </w:pPr>
          </w:p>
        </w:tc>
      </w:tr>
    </w:tbl>
    <w:p w14:paraId="44478406" w14:textId="77777777" w:rsidR="002609B4" w:rsidRPr="00470588" w:rsidRDefault="002609B4" w:rsidP="002609B4">
      <w:pPr>
        <w:spacing w:line="360" w:lineRule="auto"/>
      </w:pPr>
    </w:p>
    <w:p w14:paraId="06A0B1C6" w14:textId="77777777" w:rsidR="002609B4" w:rsidRPr="00470588" w:rsidRDefault="002609B4" w:rsidP="002609B4">
      <w:pPr>
        <w:spacing w:line="360" w:lineRule="auto"/>
      </w:pPr>
    </w:p>
    <w:p w14:paraId="5DD0B95E" w14:textId="77777777" w:rsidR="002609B4" w:rsidRPr="00470588" w:rsidRDefault="002609B4" w:rsidP="002609B4">
      <w:pPr>
        <w:spacing w:line="360" w:lineRule="auto"/>
      </w:pPr>
    </w:p>
    <w:p w14:paraId="2B642D15" w14:textId="77777777" w:rsidR="002609B4" w:rsidRPr="00470588" w:rsidRDefault="002609B4" w:rsidP="002609B4">
      <w:pPr>
        <w:spacing w:line="360" w:lineRule="auto"/>
      </w:pPr>
    </w:p>
    <w:p w14:paraId="6A5EBB1D" w14:textId="77777777" w:rsidR="002609B4" w:rsidRPr="00470588" w:rsidRDefault="002609B4" w:rsidP="002609B4">
      <w:pPr>
        <w:spacing w:line="360" w:lineRule="auto"/>
      </w:pPr>
    </w:p>
    <w:p w14:paraId="7CAB32B1" w14:textId="77777777" w:rsidR="002609B4" w:rsidRPr="00470588" w:rsidRDefault="002609B4" w:rsidP="002609B4">
      <w:pPr>
        <w:spacing w:line="360" w:lineRule="auto"/>
      </w:pPr>
    </w:p>
    <w:p w14:paraId="69722518" w14:textId="77777777" w:rsidR="002609B4" w:rsidRPr="00470588" w:rsidRDefault="002609B4" w:rsidP="002609B4">
      <w:pPr>
        <w:spacing w:line="360" w:lineRule="auto"/>
      </w:pPr>
    </w:p>
    <w:p w14:paraId="0D1FC94E" w14:textId="77777777" w:rsidR="002609B4" w:rsidRPr="00470588" w:rsidRDefault="002609B4" w:rsidP="002609B4">
      <w:pPr>
        <w:spacing w:line="360" w:lineRule="auto"/>
      </w:pPr>
    </w:p>
    <w:p w14:paraId="4DA3AA47" w14:textId="77777777" w:rsidR="002609B4" w:rsidRPr="00470588" w:rsidRDefault="002609B4" w:rsidP="002609B4">
      <w:pPr>
        <w:spacing w:line="360" w:lineRule="auto"/>
      </w:pPr>
    </w:p>
    <w:p w14:paraId="663C0CB5" w14:textId="04738C38" w:rsidR="002609B4" w:rsidRPr="00470588" w:rsidRDefault="002609B4" w:rsidP="002609B4">
      <w:pPr>
        <w:spacing w:line="360" w:lineRule="auto"/>
        <w:rPr>
          <w:bCs/>
        </w:rPr>
      </w:pPr>
      <w:r w:rsidRPr="00470588">
        <w:rPr>
          <w:bCs/>
        </w:rPr>
        <w:lastRenderedPageBreak/>
        <w:t>Anexo 2</w:t>
      </w:r>
    </w:p>
    <w:p w14:paraId="28C07271" w14:textId="77777777" w:rsidR="002609B4" w:rsidRPr="00470588" w:rsidRDefault="002609B4" w:rsidP="002609B4">
      <w:pPr>
        <w:spacing w:line="360" w:lineRule="auto"/>
        <w:jc w:val="center"/>
        <w:rPr>
          <w:b/>
        </w:rPr>
      </w:pPr>
      <w:r w:rsidRPr="00470588">
        <w:rPr>
          <w:b/>
        </w:rPr>
        <w:t>Puntuación de todos los síntomas (Total Symptom Score)</w:t>
      </w:r>
    </w:p>
    <w:tbl>
      <w:tblPr>
        <w:tblStyle w:val="TableGrid"/>
        <w:tblW w:w="0" w:type="auto"/>
        <w:tblLook w:val="04A0" w:firstRow="1" w:lastRow="0" w:firstColumn="1" w:lastColumn="0" w:noHBand="0" w:noVBand="1"/>
      </w:tblPr>
      <w:tblGrid>
        <w:gridCol w:w="4418"/>
        <w:gridCol w:w="4410"/>
      </w:tblGrid>
      <w:tr w:rsidR="002609B4" w:rsidRPr="00470588" w14:paraId="00563921" w14:textId="77777777" w:rsidTr="00941475">
        <w:tc>
          <w:tcPr>
            <w:tcW w:w="8978" w:type="dxa"/>
            <w:gridSpan w:val="2"/>
          </w:tcPr>
          <w:p w14:paraId="79F32819" w14:textId="77777777" w:rsidR="002609B4" w:rsidRPr="00470588" w:rsidRDefault="002609B4" w:rsidP="00941475">
            <w:pPr>
              <w:spacing w:line="360" w:lineRule="auto"/>
              <w:jc w:val="center"/>
              <w:rPr>
                <w:rFonts w:ascii="Arial" w:hAnsi="Arial" w:cs="Arial"/>
                <w:b/>
                <w:sz w:val="24"/>
                <w:szCs w:val="24"/>
              </w:rPr>
            </w:pPr>
            <w:r w:rsidRPr="00470588">
              <w:rPr>
                <w:rFonts w:ascii="Arial" w:hAnsi="Arial" w:cs="Arial"/>
                <w:b/>
                <w:sz w:val="24"/>
                <w:szCs w:val="24"/>
              </w:rPr>
              <w:t>Rasgos del TSS</w:t>
            </w:r>
          </w:p>
        </w:tc>
      </w:tr>
      <w:tr w:rsidR="002609B4" w:rsidRPr="00470588" w14:paraId="59EE53DC" w14:textId="77777777" w:rsidTr="00941475">
        <w:tc>
          <w:tcPr>
            <w:tcW w:w="4489" w:type="dxa"/>
          </w:tcPr>
          <w:p w14:paraId="06DA45CA"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 xml:space="preserve">1.Dolor </w:t>
            </w:r>
          </w:p>
        </w:tc>
        <w:tc>
          <w:tcPr>
            <w:tcW w:w="4489" w:type="dxa"/>
          </w:tcPr>
          <w:p w14:paraId="7EB3FC98"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Tiene dolor punzante o como descarga eléctrica</w:t>
            </w:r>
          </w:p>
        </w:tc>
      </w:tr>
      <w:tr w:rsidR="002609B4" w:rsidRPr="00470588" w14:paraId="23519616" w14:textId="77777777" w:rsidTr="00941475">
        <w:tc>
          <w:tcPr>
            <w:tcW w:w="4489" w:type="dxa"/>
          </w:tcPr>
          <w:p w14:paraId="27140B32"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 xml:space="preserve">2.Ardor </w:t>
            </w:r>
          </w:p>
        </w:tc>
        <w:tc>
          <w:tcPr>
            <w:tcW w:w="4489" w:type="dxa"/>
          </w:tcPr>
          <w:p w14:paraId="46FE42B3"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Tiene dolor quemante en las piernas</w:t>
            </w:r>
          </w:p>
        </w:tc>
      </w:tr>
      <w:tr w:rsidR="002609B4" w:rsidRPr="00470588" w14:paraId="5F56C084" w14:textId="77777777" w:rsidTr="00941475">
        <w:tc>
          <w:tcPr>
            <w:tcW w:w="4489" w:type="dxa"/>
          </w:tcPr>
          <w:p w14:paraId="0BF7814B"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 xml:space="preserve">3.Parestesias </w:t>
            </w:r>
          </w:p>
        </w:tc>
        <w:tc>
          <w:tcPr>
            <w:tcW w:w="4489" w:type="dxa"/>
          </w:tcPr>
          <w:p w14:paraId="3127CFAC"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Sensación de hormigueo o cosquilleo en los pies</w:t>
            </w:r>
          </w:p>
        </w:tc>
      </w:tr>
      <w:tr w:rsidR="002609B4" w:rsidRPr="00470588" w14:paraId="5D8E9153" w14:textId="77777777" w:rsidTr="00941475">
        <w:tc>
          <w:tcPr>
            <w:tcW w:w="4489" w:type="dxa"/>
          </w:tcPr>
          <w:p w14:paraId="1E24694A"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 xml:space="preserve">4.Adormecimiento </w:t>
            </w:r>
          </w:p>
        </w:tc>
        <w:tc>
          <w:tcPr>
            <w:tcW w:w="4489" w:type="dxa"/>
          </w:tcPr>
          <w:p w14:paraId="75E7ED7B"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Tiene entumecimiento o pérdida de sensibilidad</w:t>
            </w:r>
          </w:p>
        </w:tc>
      </w:tr>
    </w:tbl>
    <w:p w14:paraId="416A10EB" w14:textId="77777777" w:rsidR="002609B4" w:rsidRPr="00470588" w:rsidRDefault="002609B4" w:rsidP="002609B4">
      <w:pPr>
        <w:spacing w:line="360" w:lineRule="auto"/>
        <w:jc w:val="center"/>
        <w:rPr>
          <w:b/>
        </w:rPr>
      </w:pPr>
    </w:p>
    <w:tbl>
      <w:tblPr>
        <w:tblStyle w:val="TableGrid"/>
        <w:tblW w:w="9079" w:type="dxa"/>
        <w:tblLook w:val="04A0" w:firstRow="1" w:lastRow="0" w:firstColumn="1" w:lastColumn="0" w:noHBand="0" w:noVBand="1"/>
      </w:tblPr>
      <w:tblGrid>
        <w:gridCol w:w="2405"/>
        <w:gridCol w:w="1494"/>
        <w:gridCol w:w="1582"/>
        <w:gridCol w:w="1714"/>
        <w:gridCol w:w="1884"/>
      </w:tblGrid>
      <w:tr w:rsidR="002609B4" w:rsidRPr="00470588" w14:paraId="56B3E4B8" w14:textId="77777777" w:rsidTr="00941475">
        <w:trPr>
          <w:trHeight w:val="457"/>
        </w:trPr>
        <w:tc>
          <w:tcPr>
            <w:tcW w:w="2405" w:type="dxa"/>
          </w:tcPr>
          <w:p w14:paraId="1D17D333" w14:textId="77777777" w:rsidR="002609B4" w:rsidRPr="00470588" w:rsidRDefault="002609B4" w:rsidP="00941475">
            <w:pPr>
              <w:jc w:val="center"/>
              <w:rPr>
                <w:rFonts w:ascii="Arial" w:hAnsi="Arial" w:cs="Arial"/>
                <w:sz w:val="24"/>
                <w:szCs w:val="24"/>
              </w:rPr>
            </w:pPr>
          </w:p>
        </w:tc>
        <w:tc>
          <w:tcPr>
            <w:tcW w:w="6674" w:type="dxa"/>
            <w:gridSpan w:val="4"/>
            <w:tcBorders>
              <w:right w:val="single" w:sz="4" w:space="0" w:color="auto"/>
            </w:tcBorders>
          </w:tcPr>
          <w:p w14:paraId="360E1E79" w14:textId="77777777" w:rsidR="002609B4" w:rsidRPr="00470588" w:rsidRDefault="002609B4" w:rsidP="00941475">
            <w:pPr>
              <w:jc w:val="center"/>
              <w:rPr>
                <w:rFonts w:ascii="Arial" w:hAnsi="Arial" w:cs="Arial"/>
                <w:sz w:val="24"/>
                <w:szCs w:val="24"/>
              </w:rPr>
            </w:pPr>
            <w:r w:rsidRPr="00470588">
              <w:rPr>
                <w:rFonts w:ascii="Arial" w:hAnsi="Arial" w:cs="Arial"/>
                <w:sz w:val="24"/>
                <w:szCs w:val="24"/>
              </w:rPr>
              <w:t>Intensidad de síntomas (severidad)</w:t>
            </w:r>
          </w:p>
        </w:tc>
      </w:tr>
      <w:tr w:rsidR="002609B4" w:rsidRPr="00470588" w14:paraId="58458515" w14:textId="77777777" w:rsidTr="00941475">
        <w:trPr>
          <w:trHeight w:val="548"/>
        </w:trPr>
        <w:tc>
          <w:tcPr>
            <w:tcW w:w="2405" w:type="dxa"/>
            <w:tcBorders>
              <w:bottom w:val="single" w:sz="4" w:space="0" w:color="auto"/>
            </w:tcBorders>
          </w:tcPr>
          <w:p w14:paraId="4E5A3BBD" w14:textId="77777777" w:rsidR="002609B4" w:rsidRPr="00470588" w:rsidRDefault="002609B4" w:rsidP="00941475">
            <w:pPr>
              <w:spacing w:line="360" w:lineRule="auto"/>
              <w:rPr>
                <w:rFonts w:ascii="Arial" w:hAnsi="Arial" w:cs="Arial"/>
                <w:b/>
                <w:sz w:val="24"/>
                <w:szCs w:val="24"/>
              </w:rPr>
            </w:pPr>
            <w:r w:rsidRPr="00470588">
              <w:rPr>
                <w:rFonts w:ascii="Arial" w:hAnsi="Arial" w:cs="Arial"/>
                <w:b/>
                <w:sz w:val="24"/>
                <w:szCs w:val="24"/>
              </w:rPr>
              <w:t>Frecuencia de síntomas</w:t>
            </w:r>
          </w:p>
        </w:tc>
        <w:tc>
          <w:tcPr>
            <w:tcW w:w="1494" w:type="dxa"/>
            <w:tcBorders>
              <w:bottom w:val="single" w:sz="4" w:space="0" w:color="auto"/>
            </w:tcBorders>
          </w:tcPr>
          <w:p w14:paraId="76B293C7"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 xml:space="preserve">Ausente </w:t>
            </w:r>
          </w:p>
        </w:tc>
        <w:tc>
          <w:tcPr>
            <w:tcW w:w="1582" w:type="dxa"/>
            <w:tcBorders>
              <w:bottom w:val="single" w:sz="4" w:space="0" w:color="auto"/>
            </w:tcBorders>
          </w:tcPr>
          <w:p w14:paraId="3BDC3C7E"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Leve</w:t>
            </w:r>
          </w:p>
        </w:tc>
        <w:tc>
          <w:tcPr>
            <w:tcW w:w="1714" w:type="dxa"/>
            <w:tcBorders>
              <w:bottom w:val="single" w:sz="4" w:space="0" w:color="auto"/>
            </w:tcBorders>
          </w:tcPr>
          <w:p w14:paraId="0B0989B7"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Moderado</w:t>
            </w:r>
          </w:p>
        </w:tc>
        <w:tc>
          <w:tcPr>
            <w:tcW w:w="1884" w:type="dxa"/>
            <w:tcBorders>
              <w:bottom w:val="single" w:sz="4" w:space="0" w:color="auto"/>
            </w:tcBorders>
          </w:tcPr>
          <w:p w14:paraId="07F4E017"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 xml:space="preserve">Severo </w:t>
            </w:r>
          </w:p>
        </w:tc>
      </w:tr>
      <w:tr w:rsidR="002609B4" w:rsidRPr="00470588" w14:paraId="3F7FF8B4" w14:textId="77777777" w:rsidTr="00941475">
        <w:trPr>
          <w:trHeight w:val="457"/>
        </w:trPr>
        <w:tc>
          <w:tcPr>
            <w:tcW w:w="2405" w:type="dxa"/>
            <w:tcBorders>
              <w:top w:val="single" w:sz="4" w:space="0" w:color="auto"/>
            </w:tcBorders>
          </w:tcPr>
          <w:p w14:paraId="7E0F4F57" w14:textId="77777777" w:rsidR="002609B4" w:rsidRPr="00470588" w:rsidRDefault="002609B4" w:rsidP="00941475">
            <w:pPr>
              <w:spacing w:line="360" w:lineRule="auto"/>
              <w:rPr>
                <w:rFonts w:ascii="Arial" w:hAnsi="Arial" w:cs="Arial"/>
                <w:b/>
                <w:sz w:val="24"/>
                <w:szCs w:val="24"/>
              </w:rPr>
            </w:pPr>
            <w:r w:rsidRPr="00470588">
              <w:rPr>
                <w:rFonts w:ascii="Arial" w:hAnsi="Arial" w:cs="Arial"/>
                <w:b/>
                <w:sz w:val="24"/>
                <w:szCs w:val="24"/>
              </w:rPr>
              <w:t>Ocasional (&lt; a 1/3 del tiempo</w:t>
            </w:r>
          </w:p>
        </w:tc>
        <w:tc>
          <w:tcPr>
            <w:tcW w:w="1494" w:type="dxa"/>
            <w:tcBorders>
              <w:top w:val="single" w:sz="4" w:space="0" w:color="auto"/>
            </w:tcBorders>
          </w:tcPr>
          <w:p w14:paraId="2C63BF35"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0</w:t>
            </w:r>
          </w:p>
        </w:tc>
        <w:tc>
          <w:tcPr>
            <w:tcW w:w="1582" w:type="dxa"/>
            <w:tcBorders>
              <w:top w:val="single" w:sz="4" w:space="0" w:color="auto"/>
            </w:tcBorders>
          </w:tcPr>
          <w:p w14:paraId="09AB1ED0"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1</w:t>
            </w:r>
          </w:p>
        </w:tc>
        <w:tc>
          <w:tcPr>
            <w:tcW w:w="1714" w:type="dxa"/>
            <w:tcBorders>
              <w:top w:val="single" w:sz="4" w:space="0" w:color="auto"/>
            </w:tcBorders>
          </w:tcPr>
          <w:p w14:paraId="04C9BAC7"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2</w:t>
            </w:r>
          </w:p>
        </w:tc>
        <w:tc>
          <w:tcPr>
            <w:tcW w:w="1884" w:type="dxa"/>
            <w:tcBorders>
              <w:top w:val="single" w:sz="4" w:space="0" w:color="auto"/>
            </w:tcBorders>
          </w:tcPr>
          <w:p w14:paraId="4A0F1406"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3</w:t>
            </w:r>
          </w:p>
        </w:tc>
      </w:tr>
      <w:tr w:rsidR="002609B4" w:rsidRPr="00470588" w14:paraId="5BF32569" w14:textId="77777777" w:rsidTr="00941475">
        <w:trPr>
          <w:trHeight w:val="518"/>
        </w:trPr>
        <w:tc>
          <w:tcPr>
            <w:tcW w:w="2405" w:type="dxa"/>
          </w:tcPr>
          <w:p w14:paraId="2B74F905" w14:textId="77777777" w:rsidR="002609B4" w:rsidRPr="00470588" w:rsidRDefault="002609B4" w:rsidP="00941475">
            <w:pPr>
              <w:spacing w:line="360" w:lineRule="auto"/>
              <w:rPr>
                <w:rFonts w:ascii="Arial" w:hAnsi="Arial" w:cs="Arial"/>
                <w:b/>
                <w:sz w:val="24"/>
                <w:szCs w:val="24"/>
              </w:rPr>
            </w:pPr>
            <w:r w:rsidRPr="00470588">
              <w:rPr>
                <w:rFonts w:ascii="Arial" w:hAnsi="Arial" w:cs="Arial"/>
                <w:b/>
                <w:sz w:val="24"/>
                <w:szCs w:val="24"/>
              </w:rPr>
              <w:t>Frecuente (1/3 a 2/3 del tiempo</w:t>
            </w:r>
          </w:p>
        </w:tc>
        <w:tc>
          <w:tcPr>
            <w:tcW w:w="1494" w:type="dxa"/>
            <w:tcBorders>
              <w:bottom w:val="single" w:sz="4" w:space="0" w:color="auto"/>
            </w:tcBorders>
          </w:tcPr>
          <w:p w14:paraId="4181F04F"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0</w:t>
            </w:r>
          </w:p>
        </w:tc>
        <w:tc>
          <w:tcPr>
            <w:tcW w:w="1582" w:type="dxa"/>
            <w:tcBorders>
              <w:bottom w:val="single" w:sz="4" w:space="0" w:color="auto"/>
              <w:right w:val="single" w:sz="4" w:space="0" w:color="auto"/>
            </w:tcBorders>
          </w:tcPr>
          <w:p w14:paraId="30ECE915"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1,33</w:t>
            </w:r>
          </w:p>
        </w:tc>
        <w:tc>
          <w:tcPr>
            <w:tcW w:w="1714" w:type="dxa"/>
            <w:tcBorders>
              <w:left w:val="single" w:sz="4" w:space="0" w:color="auto"/>
              <w:bottom w:val="single" w:sz="4" w:space="0" w:color="auto"/>
            </w:tcBorders>
          </w:tcPr>
          <w:p w14:paraId="0BB69111"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2,33</w:t>
            </w:r>
          </w:p>
        </w:tc>
        <w:tc>
          <w:tcPr>
            <w:tcW w:w="1884" w:type="dxa"/>
            <w:tcBorders>
              <w:bottom w:val="single" w:sz="4" w:space="0" w:color="auto"/>
            </w:tcBorders>
          </w:tcPr>
          <w:p w14:paraId="75E7E2C2"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3,33</w:t>
            </w:r>
          </w:p>
        </w:tc>
      </w:tr>
      <w:tr w:rsidR="002609B4" w:rsidRPr="00470588" w14:paraId="0AA7F45E" w14:textId="77777777" w:rsidTr="00941475">
        <w:trPr>
          <w:trHeight w:val="411"/>
        </w:trPr>
        <w:tc>
          <w:tcPr>
            <w:tcW w:w="2405" w:type="dxa"/>
          </w:tcPr>
          <w:p w14:paraId="19EF0D94" w14:textId="77777777" w:rsidR="002609B4" w:rsidRPr="00470588" w:rsidRDefault="002609B4" w:rsidP="00941475">
            <w:pPr>
              <w:spacing w:line="360" w:lineRule="auto"/>
              <w:rPr>
                <w:rFonts w:ascii="Arial" w:hAnsi="Arial" w:cs="Arial"/>
                <w:b/>
                <w:sz w:val="24"/>
                <w:szCs w:val="24"/>
              </w:rPr>
            </w:pPr>
            <w:r w:rsidRPr="00470588">
              <w:rPr>
                <w:rFonts w:ascii="Arial" w:hAnsi="Arial" w:cs="Arial"/>
                <w:b/>
                <w:sz w:val="24"/>
                <w:szCs w:val="24"/>
              </w:rPr>
              <w:t>Continuo</w:t>
            </w:r>
          </w:p>
        </w:tc>
        <w:tc>
          <w:tcPr>
            <w:tcW w:w="1494" w:type="dxa"/>
            <w:tcBorders>
              <w:bottom w:val="single" w:sz="4" w:space="0" w:color="auto"/>
            </w:tcBorders>
          </w:tcPr>
          <w:p w14:paraId="02E8B7D8"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0</w:t>
            </w:r>
          </w:p>
        </w:tc>
        <w:tc>
          <w:tcPr>
            <w:tcW w:w="1582" w:type="dxa"/>
            <w:tcBorders>
              <w:bottom w:val="single" w:sz="4" w:space="0" w:color="auto"/>
              <w:right w:val="single" w:sz="4" w:space="0" w:color="auto"/>
            </w:tcBorders>
          </w:tcPr>
          <w:p w14:paraId="34E17B1D"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1,66</w:t>
            </w:r>
          </w:p>
        </w:tc>
        <w:tc>
          <w:tcPr>
            <w:tcW w:w="1714" w:type="dxa"/>
            <w:tcBorders>
              <w:left w:val="single" w:sz="4" w:space="0" w:color="auto"/>
              <w:bottom w:val="single" w:sz="4" w:space="0" w:color="auto"/>
            </w:tcBorders>
          </w:tcPr>
          <w:p w14:paraId="493CD05E"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2,66</w:t>
            </w:r>
          </w:p>
        </w:tc>
        <w:tc>
          <w:tcPr>
            <w:tcW w:w="1884" w:type="dxa"/>
            <w:tcBorders>
              <w:bottom w:val="single" w:sz="4" w:space="0" w:color="auto"/>
            </w:tcBorders>
          </w:tcPr>
          <w:p w14:paraId="3D1285E8"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3,66</w:t>
            </w:r>
          </w:p>
        </w:tc>
      </w:tr>
      <w:tr w:rsidR="002609B4" w:rsidRPr="00470588" w14:paraId="3F4A1D16" w14:textId="77777777" w:rsidTr="00941475">
        <w:trPr>
          <w:trHeight w:val="548"/>
        </w:trPr>
        <w:tc>
          <w:tcPr>
            <w:tcW w:w="2405" w:type="dxa"/>
          </w:tcPr>
          <w:p w14:paraId="685680E1" w14:textId="77777777" w:rsidR="002609B4" w:rsidRPr="00470588" w:rsidRDefault="002609B4" w:rsidP="00941475">
            <w:pPr>
              <w:spacing w:line="360" w:lineRule="auto"/>
              <w:rPr>
                <w:rFonts w:ascii="Arial" w:hAnsi="Arial" w:cs="Arial"/>
                <w:b/>
                <w:sz w:val="24"/>
                <w:szCs w:val="24"/>
              </w:rPr>
            </w:pPr>
          </w:p>
        </w:tc>
        <w:tc>
          <w:tcPr>
            <w:tcW w:w="1494" w:type="dxa"/>
            <w:tcBorders>
              <w:bottom w:val="single" w:sz="4" w:space="0" w:color="auto"/>
            </w:tcBorders>
          </w:tcPr>
          <w:p w14:paraId="599B238F"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No hay síntoma</w:t>
            </w:r>
          </w:p>
        </w:tc>
        <w:tc>
          <w:tcPr>
            <w:tcW w:w="1582" w:type="dxa"/>
            <w:tcBorders>
              <w:bottom w:val="single" w:sz="4" w:space="0" w:color="auto"/>
              <w:right w:val="single" w:sz="4" w:space="0" w:color="auto"/>
            </w:tcBorders>
          </w:tcPr>
          <w:p w14:paraId="2FB00D67"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Síntoma perceptible, no interfiere actividad diaria</w:t>
            </w:r>
          </w:p>
        </w:tc>
        <w:tc>
          <w:tcPr>
            <w:tcW w:w="1714" w:type="dxa"/>
            <w:tcBorders>
              <w:left w:val="single" w:sz="4" w:space="0" w:color="auto"/>
              <w:bottom w:val="single" w:sz="4" w:space="0" w:color="auto"/>
            </w:tcBorders>
          </w:tcPr>
          <w:p w14:paraId="0FFEE3D7"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Síntoma interfiere con actividad diaria o con el sueño, requiere tratamiento</w:t>
            </w:r>
          </w:p>
        </w:tc>
        <w:tc>
          <w:tcPr>
            <w:tcW w:w="1884" w:type="dxa"/>
            <w:tcBorders>
              <w:bottom w:val="single" w:sz="4" w:space="0" w:color="auto"/>
            </w:tcBorders>
          </w:tcPr>
          <w:p w14:paraId="40776428" w14:textId="77777777" w:rsidR="002609B4" w:rsidRPr="00470588" w:rsidRDefault="002609B4" w:rsidP="00941475">
            <w:pPr>
              <w:spacing w:line="360" w:lineRule="auto"/>
              <w:rPr>
                <w:rFonts w:ascii="Arial" w:hAnsi="Arial" w:cs="Arial"/>
                <w:sz w:val="24"/>
                <w:szCs w:val="24"/>
              </w:rPr>
            </w:pPr>
            <w:r w:rsidRPr="00470588">
              <w:rPr>
                <w:rFonts w:ascii="Arial" w:hAnsi="Arial" w:cs="Arial"/>
                <w:sz w:val="24"/>
                <w:szCs w:val="24"/>
              </w:rPr>
              <w:t>El síntoma interfiere frecuentemente con la actividad diaria o con el sueño, incapacitante o requiere tratamiento para control</w:t>
            </w:r>
          </w:p>
        </w:tc>
      </w:tr>
      <w:tr w:rsidR="002609B4" w:rsidRPr="00470588" w14:paraId="4AF34DF5" w14:textId="77777777" w:rsidTr="00941475">
        <w:trPr>
          <w:trHeight w:val="594"/>
        </w:trPr>
        <w:tc>
          <w:tcPr>
            <w:tcW w:w="2405" w:type="dxa"/>
          </w:tcPr>
          <w:p w14:paraId="194AA492" w14:textId="77777777" w:rsidR="002609B4" w:rsidRPr="00470588" w:rsidRDefault="002609B4" w:rsidP="00941475">
            <w:pPr>
              <w:spacing w:line="360" w:lineRule="auto"/>
              <w:rPr>
                <w:rFonts w:ascii="Arial" w:hAnsi="Arial" w:cs="Arial"/>
                <w:b/>
                <w:sz w:val="24"/>
                <w:szCs w:val="24"/>
              </w:rPr>
            </w:pPr>
            <w:r w:rsidRPr="00470588">
              <w:rPr>
                <w:rFonts w:ascii="Arial" w:hAnsi="Arial" w:cs="Arial"/>
                <w:b/>
                <w:sz w:val="24"/>
                <w:szCs w:val="24"/>
              </w:rPr>
              <w:t xml:space="preserve">Total </w:t>
            </w:r>
          </w:p>
        </w:tc>
        <w:tc>
          <w:tcPr>
            <w:tcW w:w="1494" w:type="dxa"/>
          </w:tcPr>
          <w:p w14:paraId="5F9824C4" w14:textId="77777777" w:rsidR="002609B4" w:rsidRPr="00470588" w:rsidRDefault="002609B4" w:rsidP="00941475">
            <w:pPr>
              <w:spacing w:line="360" w:lineRule="auto"/>
              <w:rPr>
                <w:rFonts w:ascii="Arial" w:hAnsi="Arial" w:cs="Arial"/>
                <w:sz w:val="24"/>
                <w:szCs w:val="24"/>
              </w:rPr>
            </w:pPr>
          </w:p>
        </w:tc>
        <w:tc>
          <w:tcPr>
            <w:tcW w:w="1582" w:type="dxa"/>
            <w:tcBorders>
              <w:right w:val="single" w:sz="4" w:space="0" w:color="auto"/>
            </w:tcBorders>
          </w:tcPr>
          <w:p w14:paraId="6AC76817" w14:textId="77777777" w:rsidR="002609B4" w:rsidRPr="00470588" w:rsidRDefault="002609B4" w:rsidP="00941475">
            <w:pPr>
              <w:spacing w:line="360" w:lineRule="auto"/>
              <w:rPr>
                <w:rFonts w:ascii="Arial" w:hAnsi="Arial" w:cs="Arial"/>
                <w:sz w:val="24"/>
                <w:szCs w:val="24"/>
              </w:rPr>
            </w:pPr>
          </w:p>
        </w:tc>
        <w:tc>
          <w:tcPr>
            <w:tcW w:w="1714" w:type="dxa"/>
            <w:tcBorders>
              <w:left w:val="single" w:sz="4" w:space="0" w:color="auto"/>
            </w:tcBorders>
          </w:tcPr>
          <w:p w14:paraId="7EF121FA" w14:textId="77777777" w:rsidR="002609B4" w:rsidRPr="00470588" w:rsidRDefault="002609B4" w:rsidP="00941475">
            <w:pPr>
              <w:spacing w:line="360" w:lineRule="auto"/>
              <w:rPr>
                <w:rFonts w:ascii="Arial" w:hAnsi="Arial" w:cs="Arial"/>
                <w:sz w:val="24"/>
                <w:szCs w:val="24"/>
              </w:rPr>
            </w:pPr>
          </w:p>
        </w:tc>
        <w:tc>
          <w:tcPr>
            <w:tcW w:w="1884" w:type="dxa"/>
          </w:tcPr>
          <w:p w14:paraId="03B17C1E" w14:textId="77777777" w:rsidR="002609B4" w:rsidRPr="00470588" w:rsidRDefault="002609B4" w:rsidP="00941475">
            <w:pPr>
              <w:spacing w:line="360" w:lineRule="auto"/>
              <w:rPr>
                <w:rFonts w:ascii="Arial" w:hAnsi="Arial" w:cs="Arial"/>
                <w:sz w:val="24"/>
                <w:szCs w:val="24"/>
              </w:rPr>
            </w:pPr>
          </w:p>
        </w:tc>
      </w:tr>
    </w:tbl>
    <w:p w14:paraId="73029FA5" w14:textId="77777777" w:rsidR="002609B4" w:rsidRPr="00470588" w:rsidRDefault="002609B4" w:rsidP="002609B4">
      <w:pPr>
        <w:spacing w:line="360" w:lineRule="auto"/>
        <w:jc w:val="center"/>
        <w:rPr>
          <w:b/>
        </w:rPr>
      </w:pPr>
    </w:p>
    <w:p w14:paraId="2460484B" w14:textId="77777777" w:rsidR="000C73FA" w:rsidRPr="00470588" w:rsidRDefault="000C73FA"/>
    <w:p w14:paraId="55EF9E77" w14:textId="4992DBB2" w:rsidR="002609B4" w:rsidRPr="00470588" w:rsidRDefault="002609B4" w:rsidP="002609B4">
      <w:pPr>
        <w:spacing w:line="360" w:lineRule="auto"/>
        <w:rPr>
          <w:bCs/>
        </w:rPr>
      </w:pPr>
      <w:r w:rsidRPr="00470588">
        <w:rPr>
          <w:bCs/>
        </w:rPr>
        <w:t>Anexo 3</w:t>
      </w:r>
    </w:p>
    <w:p w14:paraId="6E45460A" w14:textId="4EFEA670" w:rsidR="002609B4" w:rsidRPr="00470588" w:rsidRDefault="002609B4" w:rsidP="00374723">
      <w:pPr>
        <w:spacing w:line="360" w:lineRule="auto"/>
        <w:jc w:val="center"/>
        <w:rPr>
          <w:b/>
        </w:rPr>
      </w:pPr>
      <w:r w:rsidRPr="00470588">
        <w:rPr>
          <w:b/>
        </w:rPr>
        <w:t>Planilla de recolección de datos</w:t>
      </w:r>
    </w:p>
    <w:p w14:paraId="2439B8D0" w14:textId="77777777" w:rsidR="003350EC" w:rsidRPr="00470588" w:rsidRDefault="003350EC" w:rsidP="002609B4">
      <w:pPr>
        <w:spacing w:line="360" w:lineRule="auto"/>
        <w:rPr>
          <w:bCs/>
        </w:rPr>
      </w:pPr>
    </w:p>
    <w:p w14:paraId="39A35168" w14:textId="028BA3BE" w:rsidR="00374723" w:rsidRPr="00470588" w:rsidRDefault="00374723" w:rsidP="002609B4">
      <w:pPr>
        <w:spacing w:line="360" w:lineRule="auto"/>
        <w:rPr>
          <w:bCs/>
        </w:rPr>
      </w:pPr>
      <w:r w:rsidRPr="00470588">
        <w:rPr>
          <w:bCs/>
        </w:rPr>
        <w:t>Hoja No.</w:t>
      </w:r>
    </w:p>
    <w:p w14:paraId="4A68CDBC" w14:textId="77777777" w:rsidR="00374723" w:rsidRPr="00470588" w:rsidRDefault="00374723" w:rsidP="002609B4">
      <w:pPr>
        <w:spacing w:line="360" w:lineRule="auto"/>
        <w:rPr>
          <w:bCs/>
        </w:rPr>
      </w:pPr>
    </w:p>
    <w:p w14:paraId="3CE5D47F" w14:textId="77777777" w:rsidR="00374723" w:rsidRPr="00470588" w:rsidRDefault="00374723" w:rsidP="00374723">
      <w:r w:rsidRPr="00470588">
        <w:t>Nombre:</w:t>
      </w:r>
    </w:p>
    <w:p w14:paraId="12A48DAE" w14:textId="77777777" w:rsidR="00374723" w:rsidRPr="00470588" w:rsidRDefault="00374723" w:rsidP="00374723">
      <w:r w:rsidRPr="00470588">
        <w:t xml:space="preserve">Edad:                                           Sexo:    </w:t>
      </w:r>
    </w:p>
    <w:p w14:paraId="5815E693" w14:textId="358D8E9B" w:rsidR="00374723" w:rsidRPr="00470588" w:rsidRDefault="00374723" w:rsidP="00374723">
      <w:r w:rsidRPr="00470588">
        <w:t xml:space="preserve">                          </w:t>
      </w:r>
    </w:p>
    <w:p w14:paraId="669C11D0" w14:textId="3E274801" w:rsidR="00374723" w:rsidRPr="00470588" w:rsidRDefault="00374723" w:rsidP="00374723">
      <w:r w:rsidRPr="00470588">
        <w:t>HTA: _____; Obesidad (IMC&gt;30): _____; tabaquismo: _____; EAP: ______</w:t>
      </w:r>
    </w:p>
    <w:p w14:paraId="09B68B1C" w14:textId="2C182699" w:rsidR="00374723" w:rsidRPr="00470588" w:rsidRDefault="00374723" w:rsidP="00374723">
      <w:r w:rsidRPr="00470588">
        <w:t>Dislipidemia: ______; Hiperglucemia: _______.</w:t>
      </w:r>
    </w:p>
    <w:p w14:paraId="5DC92F19" w14:textId="77777777" w:rsidR="00374723" w:rsidRPr="00470588" w:rsidRDefault="00374723" w:rsidP="00374723"/>
    <w:p w14:paraId="38D71F3E" w14:textId="0A20AF5F" w:rsidR="00374723" w:rsidRPr="00470588" w:rsidRDefault="00374723" w:rsidP="00374723">
      <w:r w:rsidRPr="00470588">
        <w:t xml:space="preserve">Tipo de Diabetes </w:t>
      </w:r>
      <w:r w:rsidRPr="00470588">
        <w:rPr>
          <w:i/>
          <w:iCs/>
        </w:rPr>
        <w:t>mellitus</w:t>
      </w:r>
      <w:r w:rsidRPr="00470588">
        <w:t>:</w:t>
      </w:r>
    </w:p>
    <w:p w14:paraId="19F60F2E" w14:textId="68B9BEBC" w:rsidR="00374723" w:rsidRPr="00470588" w:rsidRDefault="00374723" w:rsidP="00374723">
      <w:r w:rsidRPr="00470588">
        <w:t xml:space="preserve">Tiempo de evolución de la Diabetes </w:t>
      </w:r>
      <w:r w:rsidRPr="00470588">
        <w:rPr>
          <w:i/>
          <w:iCs/>
        </w:rPr>
        <w:t>mellitus</w:t>
      </w:r>
      <w:r w:rsidRPr="00470588">
        <w:t>:</w:t>
      </w:r>
    </w:p>
    <w:p w14:paraId="45F954CB" w14:textId="77777777" w:rsidR="00374723" w:rsidRPr="00470588" w:rsidRDefault="00374723" w:rsidP="002609B4">
      <w:pPr>
        <w:spacing w:line="360" w:lineRule="auto"/>
      </w:pPr>
    </w:p>
    <w:p w14:paraId="16396D28" w14:textId="77777777" w:rsidR="00374723" w:rsidRPr="00470588" w:rsidRDefault="00374723" w:rsidP="002609B4">
      <w:pPr>
        <w:spacing w:line="360" w:lineRule="auto"/>
      </w:pPr>
    </w:p>
    <w:p w14:paraId="534D4BC9" w14:textId="0936CBE9" w:rsidR="003350EC" w:rsidRPr="00470588" w:rsidRDefault="00374723" w:rsidP="002609B4">
      <w:pPr>
        <w:spacing w:line="360" w:lineRule="auto"/>
      </w:pPr>
      <w:r w:rsidRPr="00470588">
        <w:t>NPD Presente:                                             NDP Ausente</w:t>
      </w:r>
    </w:p>
    <w:p w14:paraId="4F1645E5" w14:textId="77777777" w:rsidR="00374723" w:rsidRPr="00470588" w:rsidRDefault="00374723" w:rsidP="00374723">
      <w:pPr>
        <w:spacing w:line="360" w:lineRule="auto"/>
        <w:rPr>
          <w:bCs/>
        </w:rPr>
      </w:pPr>
      <w:r w:rsidRPr="00470588">
        <w:t>Puntaje NDS                                                 Puntaje NDS</w:t>
      </w:r>
    </w:p>
    <w:p w14:paraId="04A47430" w14:textId="1CE1E9FB" w:rsidR="00374723" w:rsidRPr="00470588" w:rsidRDefault="00374723" w:rsidP="002609B4">
      <w:pPr>
        <w:spacing w:line="360" w:lineRule="auto"/>
        <w:rPr>
          <w:bCs/>
        </w:rPr>
      </w:pPr>
      <w:bookmarkStart w:id="89" w:name="_Hlk177074498"/>
      <w:r w:rsidRPr="00470588">
        <w:rPr>
          <w:bCs/>
        </w:rPr>
        <w:t>Puntaje TSS</w:t>
      </w:r>
      <w:bookmarkEnd w:id="89"/>
      <w:r w:rsidRPr="00470588">
        <w:rPr>
          <w:bCs/>
        </w:rPr>
        <w:t xml:space="preserve">                                                  Puntaje TSS</w:t>
      </w:r>
    </w:p>
    <w:p w14:paraId="60F7B25D" w14:textId="77777777" w:rsidR="003350EC" w:rsidRPr="00470588" w:rsidRDefault="003350EC" w:rsidP="002609B4">
      <w:pPr>
        <w:spacing w:line="360" w:lineRule="auto"/>
        <w:rPr>
          <w:bCs/>
        </w:rPr>
      </w:pPr>
    </w:p>
    <w:p w14:paraId="3D0D8DA0" w14:textId="77777777" w:rsidR="003350EC" w:rsidRPr="00470588" w:rsidRDefault="003350EC" w:rsidP="002609B4">
      <w:pPr>
        <w:spacing w:line="360" w:lineRule="auto"/>
        <w:rPr>
          <w:bCs/>
        </w:rPr>
      </w:pPr>
    </w:p>
    <w:p w14:paraId="10DB05D7" w14:textId="77777777" w:rsidR="003350EC" w:rsidRPr="00470588" w:rsidRDefault="003350EC" w:rsidP="002609B4">
      <w:pPr>
        <w:spacing w:line="360" w:lineRule="auto"/>
        <w:rPr>
          <w:bCs/>
        </w:rPr>
      </w:pPr>
    </w:p>
    <w:p w14:paraId="4EC4F463" w14:textId="1F277DCA" w:rsidR="003350EC" w:rsidRDefault="003350EC" w:rsidP="002609B4">
      <w:pPr>
        <w:spacing w:line="360" w:lineRule="auto"/>
        <w:rPr>
          <w:bCs/>
        </w:rPr>
      </w:pPr>
    </w:p>
    <w:p w14:paraId="49117C02" w14:textId="50C9475B" w:rsidR="0043049E" w:rsidRDefault="0043049E" w:rsidP="002609B4">
      <w:pPr>
        <w:spacing w:line="360" w:lineRule="auto"/>
        <w:rPr>
          <w:bCs/>
        </w:rPr>
      </w:pPr>
    </w:p>
    <w:p w14:paraId="54C3413A" w14:textId="00626D9B" w:rsidR="0043049E" w:rsidRDefault="0043049E" w:rsidP="002609B4">
      <w:pPr>
        <w:spacing w:line="360" w:lineRule="auto"/>
        <w:rPr>
          <w:bCs/>
        </w:rPr>
      </w:pPr>
    </w:p>
    <w:p w14:paraId="5B1370D4" w14:textId="77777777" w:rsidR="0043049E" w:rsidRPr="00470588" w:rsidRDefault="0043049E" w:rsidP="002609B4">
      <w:pPr>
        <w:spacing w:line="360" w:lineRule="auto"/>
        <w:rPr>
          <w:bCs/>
        </w:rPr>
      </w:pPr>
    </w:p>
    <w:p w14:paraId="5DC50E74" w14:textId="77777777" w:rsidR="003350EC" w:rsidRPr="00470588" w:rsidRDefault="003350EC" w:rsidP="002609B4">
      <w:pPr>
        <w:spacing w:line="360" w:lineRule="auto"/>
        <w:rPr>
          <w:bCs/>
        </w:rPr>
      </w:pPr>
    </w:p>
    <w:p w14:paraId="358677D4" w14:textId="37B2B525" w:rsidR="003350EC" w:rsidRPr="00470588" w:rsidRDefault="003350EC" w:rsidP="002609B4">
      <w:pPr>
        <w:spacing w:line="360" w:lineRule="auto"/>
        <w:rPr>
          <w:bCs/>
        </w:rPr>
      </w:pPr>
      <w:r w:rsidRPr="00470588">
        <w:rPr>
          <w:bCs/>
        </w:rPr>
        <w:lastRenderedPageBreak/>
        <w:t>Anexo 4</w:t>
      </w:r>
    </w:p>
    <w:p w14:paraId="307BFCD5" w14:textId="0AA6AFCB" w:rsidR="003350EC" w:rsidRPr="00470588" w:rsidRDefault="003350EC" w:rsidP="003350EC">
      <w:pPr>
        <w:autoSpaceDE w:val="0"/>
        <w:autoSpaceDN w:val="0"/>
        <w:adjustRightInd w:val="0"/>
        <w:spacing w:before="72" w:after="72" w:line="360" w:lineRule="auto"/>
        <w:ind w:right="51"/>
        <w:jc w:val="center"/>
        <w:rPr>
          <w:rFonts w:eastAsia="Times New Roman"/>
          <w:b/>
          <w:bCs/>
          <w:lang w:eastAsia="es-ES"/>
        </w:rPr>
      </w:pPr>
      <w:r w:rsidRPr="00470588">
        <w:rPr>
          <w:rFonts w:eastAsia="Times New Roman"/>
          <w:b/>
          <w:bCs/>
          <w:lang w:eastAsia="es-ES"/>
        </w:rPr>
        <w:t>Consentimiento informado</w:t>
      </w:r>
    </w:p>
    <w:p w14:paraId="306392C8" w14:textId="23CC0082" w:rsidR="00EE1F0F" w:rsidRPr="00470588" w:rsidRDefault="00EE1F0F" w:rsidP="00EE1F0F">
      <w:pPr>
        <w:spacing w:line="360" w:lineRule="auto"/>
        <w:rPr>
          <w:rFonts w:eastAsia="Calibri"/>
          <w:b/>
        </w:rPr>
      </w:pPr>
      <w:r w:rsidRPr="00470588">
        <w:rPr>
          <w:rFonts w:eastAsia="Calibri"/>
        </w:rPr>
        <w:t xml:space="preserve">Por medio del presente se le convida a participar en una investigación titulada </w:t>
      </w:r>
      <w:r w:rsidR="006339E1" w:rsidRPr="00470588">
        <w:rPr>
          <w:rFonts w:eastAsia="Times New Roman"/>
          <w:caps/>
          <w:lang w:eastAsia="es-ES"/>
        </w:rPr>
        <w:t xml:space="preserve">´´Prevalencia y factores asociados a la neuropatía periférica en pacientes diabéticos en población del policlínico Cerro´´, </w:t>
      </w:r>
      <w:r w:rsidRPr="00470588">
        <w:rPr>
          <w:rFonts w:eastAsia="Times New Roman"/>
          <w:lang w:eastAsia="es-ES"/>
        </w:rPr>
        <w:t>que</w:t>
      </w:r>
      <w:r w:rsidR="006339E1" w:rsidRPr="00470588">
        <w:rPr>
          <w:rFonts w:eastAsia="Times New Roman"/>
          <w:lang w:eastAsia="es-ES"/>
        </w:rPr>
        <w:t xml:space="preserve"> tiene</w:t>
      </w:r>
      <w:r w:rsidRPr="00470588">
        <w:rPr>
          <w:rFonts w:eastAsia="Times New Roman"/>
          <w:lang w:eastAsia="es-ES"/>
        </w:rPr>
        <w:t xml:space="preserve"> como objetivo </w:t>
      </w:r>
      <w:r w:rsidR="006339E1" w:rsidRPr="00470588">
        <w:rPr>
          <w:rFonts w:eastAsia="Times New Roman"/>
          <w:lang w:eastAsia="es-ES"/>
        </w:rPr>
        <w:t>estimar la prevalencia y los factores asociados a la neuropatía periférica en pacientes diabéticos en una población del policlínico Cerro</w:t>
      </w:r>
      <w:r w:rsidRPr="00470588">
        <w:rPr>
          <w:rFonts w:eastAsia="Times New Roman"/>
          <w:lang w:eastAsia="es-ES"/>
        </w:rPr>
        <w:t>.</w:t>
      </w:r>
    </w:p>
    <w:p w14:paraId="7702C1E5" w14:textId="27BCDECB" w:rsidR="00EE1F0F" w:rsidRPr="00470588" w:rsidRDefault="00EE1F0F" w:rsidP="00EE1F0F">
      <w:pPr>
        <w:spacing w:line="360" w:lineRule="auto"/>
        <w:rPr>
          <w:rFonts w:eastAsia="Times New Roman"/>
          <w:lang w:eastAsia="es-ES"/>
        </w:rPr>
      </w:pPr>
      <w:r w:rsidRPr="00470588">
        <w:rPr>
          <w:rFonts w:eastAsia="Times New Roman"/>
          <w:lang w:eastAsia="es-ES"/>
        </w:rPr>
        <w:t>El estudio no implica ningún riesgo para usted</w:t>
      </w:r>
      <w:r w:rsidR="006339E1" w:rsidRPr="00470588">
        <w:rPr>
          <w:rFonts w:eastAsia="Times New Roman"/>
          <w:lang w:eastAsia="es-ES"/>
        </w:rPr>
        <w:t xml:space="preserve">. </w:t>
      </w:r>
      <w:r w:rsidRPr="00470588">
        <w:rPr>
          <w:rFonts w:eastAsia="Times New Roman"/>
          <w:lang w:eastAsia="es-ES"/>
        </w:rPr>
        <w:t>Desde el punto de vista general esta investigación beneficiará a la atención médica en el país.</w:t>
      </w:r>
    </w:p>
    <w:p w14:paraId="3FD553B8" w14:textId="77777777" w:rsidR="00EE1F0F" w:rsidRPr="00470588" w:rsidRDefault="00EE1F0F" w:rsidP="00EE1F0F">
      <w:pPr>
        <w:spacing w:line="360" w:lineRule="auto"/>
        <w:rPr>
          <w:rFonts w:eastAsia="Times New Roman"/>
          <w:lang w:eastAsia="es-ES"/>
        </w:rPr>
      </w:pPr>
      <w:r w:rsidRPr="00470588">
        <w:rPr>
          <w:rFonts w:eastAsia="Times New Roman"/>
          <w:lang w:eastAsia="es-ES"/>
        </w:rPr>
        <w:t>Tiene el derecho de no participar, o retirarse del estudio en el momento en que lo considere, sin que esto afecte su atención médica o le perjudique en otro sentido. El personal a cargo del estudio se compromete con la confidencialidad de la información que proporcione, que se empleará sólo con fines de la investigación.</w:t>
      </w:r>
    </w:p>
    <w:p w14:paraId="75F9987A" w14:textId="77777777" w:rsidR="00EE1F0F" w:rsidRPr="00470588" w:rsidRDefault="00EE1F0F" w:rsidP="00EE1F0F">
      <w:pPr>
        <w:spacing w:line="360" w:lineRule="auto"/>
        <w:rPr>
          <w:rFonts w:eastAsia="Calibri"/>
        </w:rPr>
      </w:pPr>
      <w:r w:rsidRPr="00470588">
        <w:rPr>
          <w:rFonts w:eastAsia="Calibri"/>
        </w:rPr>
        <w:t>Si considera que ha recibido la información necesaria para el estudio que se está llevando a cabo y acepta participar le solicitamos que firme este modelo de consentimiento.</w:t>
      </w:r>
    </w:p>
    <w:p w14:paraId="035B69F9" w14:textId="77777777" w:rsidR="00EE1F0F" w:rsidRPr="00470588" w:rsidRDefault="00EE1F0F" w:rsidP="00EE1F0F">
      <w:pPr>
        <w:spacing w:line="360" w:lineRule="auto"/>
        <w:rPr>
          <w:rFonts w:eastAsia="Calibri"/>
        </w:rPr>
      </w:pPr>
    </w:p>
    <w:p w14:paraId="29893F57" w14:textId="77777777" w:rsidR="006339E1" w:rsidRPr="00470588" w:rsidRDefault="006339E1" w:rsidP="00EE1F0F">
      <w:pPr>
        <w:spacing w:line="360" w:lineRule="auto"/>
        <w:rPr>
          <w:rFonts w:eastAsia="Calibri"/>
        </w:rPr>
      </w:pPr>
    </w:p>
    <w:p w14:paraId="64FD2D6D" w14:textId="77777777" w:rsidR="00EE1F0F" w:rsidRPr="00470588" w:rsidRDefault="00EE1F0F" w:rsidP="00EE1F0F">
      <w:pPr>
        <w:spacing w:line="360" w:lineRule="auto"/>
        <w:rPr>
          <w:rFonts w:eastAsia="Calibri"/>
        </w:rPr>
      </w:pPr>
      <w:r w:rsidRPr="00470588">
        <w:rPr>
          <w:rFonts w:eastAsia="Calibri"/>
        </w:rPr>
        <w:t>Yo: _________________________________ (Nombre y apellidos) acepto ser incluido (a) en la investigación.</w:t>
      </w:r>
    </w:p>
    <w:p w14:paraId="5FC4A2BC" w14:textId="77777777" w:rsidR="00EE1F0F" w:rsidRPr="00470588" w:rsidRDefault="00EE1F0F" w:rsidP="00EE1F0F">
      <w:pPr>
        <w:spacing w:line="240" w:lineRule="auto"/>
        <w:rPr>
          <w:rFonts w:eastAsia="Calibri"/>
        </w:rPr>
      </w:pPr>
      <w:r w:rsidRPr="00470588">
        <w:rPr>
          <w:rFonts w:eastAsia="Calibri"/>
        </w:rPr>
        <w:t>Firma: ________________</w:t>
      </w:r>
    </w:p>
    <w:p w14:paraId="3B0725E6" w14:textId="77777777" w:rsidR="006339E1" w:rsidRPr="00470588" w:rsidRDefault="006339E1" w:rsidP="00EE1F0F">
      <w:pPr>
        <w:spacing w:line="240" w:lineRule="auto"/>
        <w:rPr>
          <w:rFonts w:eastAsia="Calibri"/>
        </w:rPr>
      </w:pPr>
    </w:p>
    <w:p w14:paraId="15A3F4F8" w14:textId="77777777" w:rsidR="00EE1F0F" w:rsidRPr="00470588" w:rsidRDefault="00EE1F0F" w:rsidP="00EE1F0F">
      <w:pPr>
        <w:spacing w:line="240" w:lineRule="auto"/>
        <w:rPr>
          <w:rFonts w:eastAsia="Calibri"/>
        </w:rPr>
      </w:pPr>
      <w:r w:rsidRPr="00470588">
        <w:rPr>
          <w:rFonts w:eastAsia="Calibri"/>
        </w:rPr>
        <w:t>Firma del investigador-encuestador: _________________</w:t>
      </w:r>
    </w:p>
    <w:p w14:paraId="693B8C9E" w14:textId="77777777" w:rsidR="003350EC" w:rsidRPr="00470588" w:rsidRDefault="003350EC" w:rsidP="003350EC">
      <w:pPr>
        <w:autoSpaceDE w:val="0"/>
        <w:autoSpaceDN w:val="0"/>
        <w:adjustRightInd w:val="0"/>
        <w:spacing w:before="72" w:after="72" w:line="360" w:lineRule="auto"/>
        <w:ind w:left="142" w:right="51" w:firstLine="426"/>
        <w:rPr>
          <w:rFonts w:eastAsia="Times New Roman"/>
          <w:lang w:eastAsia="es-ES"/>
        </w:rPr>
      </w:pPr>
    </w:p>
    <w:p w14:paraId="09806AB6" w14:textId="77777777" w:rsidR="006339E1" w:rsidRPr="00470588" w:rsidRDefault="006339E1" w:rsidP="003350EC">
      <w:pPr>
        <w:autoSpaceDE w:val="0"/>
        <w:autoSpaceDN w:val="0"/>
        <w:adjustRightInd w:val="0"/>
        <w:spacing w:before="72" w:after="72" w:line="360" w:lineRule="auto"/>
        <w:ind w:left="142" w:right="51" w:firstLine="426"/>
        <w:rPr>
          <w:rFonts w:eastAsia="Times New Roman"/>
          <w:lang w:eastAsia="es-ES"/>
        </w:rPr>
      </w:pPr>
    </w:p>
    <w:p w14:paraId="2C8E7AFE" w14:textId="77777777" w:rsidR="003350EC" w:rsidRPr="00470588" w:rsidRDefault="003350EC" w:rsidP="003350EC">
      <w:pPr>
        <w:autoSpaceDE w:val="0"/>
        <w:autoSpaceDN w:val="0"/>
        <w:adjustRightInd w:val="0"/>
        <w:spacing w:before="72" w:after="72" w:line="360" w:lineRule="auto"/>
        <w:ind w:left="142" w:right="51" w:firstLine="426"/>
        <w:rPr>
          <w:rFonts w:eastAsia="Times New Roman"/>
          <w:lang w:eastAsia="es-ES"/>
        </w:rPr>
      </w:pPr>
      <w:r w:rsidRPr="00470588">
        <w:rPr>
          <w:rFonts w:eastAsia="Times New Roman"/>
          <w:lang w:eastAsia="es-ES"/>
        </w:rPr>
        <w:t>A los ___ días del mes _____________de 20__</w:t>
      </w:r>
    </w:p>
    <w:p w14:paraId="2E3A2442" w14:textId="66978905" w:rsidR="003350EC" w:rsidRPr="00470588" w:rsidRDefault="003350EC" w:rsidP="002609B4">
      <w:pPr>
        <w:spacing w:line="360" w:lineRule="auto"/>
        <w:rPr>
          <w:bCs/>
        </w:rPr>
      </w:pPr>
    </w:p>
    <w:p w14:paraId="247F48B7" w14:textId="77777777" w:rsidR="002609B4" w:rsidRPr="00470588" w:rsidRDefault="002609B4" w:rsidP="002609B4">
      <w:pPr>
        <w:spacing w:line="360" w:lineRule="auto"/>
        <w:rPr>
          <w:bCs/>
        </w:rPr>
      </w:pPr>
    </w:p>
    <w:p w14:paraId="5DFBB259" w14:textId="77777777" w:rsidR="000C73FA" w:rsidRPr="000C73FA" w:rsidRDefault="000C73FA">
      <w:pPr>
        <w:rPr>
          <w:lang w:val="es-ES"/>
        </w:rPr>
      </w:pPr>
    </w:p>
    <w:sectPr w:rsidR="000C73FA" w:rsidRPr="000C73FA" w:rsidSect="0043049E">
      <w:headerReference w:type="default" r:id="rId14"/>
      <w:footerReference w:type="default" r:id="rId15"/>
      <w:endnotePr>
        <w:numFmt w:val="decimal"/>
      </w:endnotePr>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8D472" w14:textId="77777777" w:rsidR="00FC3B17" w:rsidRPr="00470588" w:rsidRDefault="00FC3B17" w:rsidP="000C73FA">
      <w:pPr>
        <w:spacing w:line="240" w:lineRule="auto"/>
      </w:pPr>
      <w:r w:rsidRPr="00470588">
        <w:separator/>
      </w:r>
    </w:p>
  </w:endnote>
  <w:endnote w:type="continuationSeparator" w:id="0">
    <w:p w14:paraId="5F0E3068" w14:textId="77777777" w:rsidR="00FC3B17" w:rsidRPr="00470588" w:rsidRDefault="00FC3B17" w:rsidP="000C73FA">
      <w:pPr>
        <w:spacing w:line="240" w:lineRule="auto"/>
      </w:pPr>
      <w:r w:rsidRPr="00470588">
        <w:continuationSeparator/>
      </w:r>
    </w:p>
  </w:endnote>
  <w:endnote w:id="1">
    <w:p w14:paraId="2965E3A6" w14:textId="115A5A1D" w:rsidR="00E37D9F" w:rsidRPr="00470588" w:rsidRDefault="00E37D9F" w:rsidP="00E37D9F">
      <w:pPr>
        <w:pStyle w:val="EndnoteText"/>
        <w:spacing w:line="480" w:lineRule="auto"/>
        <w:rPr>
          <w:sz w:val="24"/>
          <w:szCs w:val="24"/>
        </w:rPr>
      </w:pPr>
      <w:r w:rsidRPr="00470588">
        <w:rPr>
          <w:rStyle w:val="EndnoteReference"/>
          <w:sz w:val="24"/>
          <w:szCs w:val="24"/>
        </w:rPr>
        <w:endnoteRef/>
      </w:r>
      <w:r w:rsidRPr="00470588">
        <w:rPr>
          <w:sz w:val="24"/>
          <w:szCs w:val="24"/>
        </w:rPr>
        <w:t xml:space="preserve"> Medina G, Carbajales EB, Carbajales AI. Características clínicas epidemiológicas de la diabetes mellitus en pacientes de un consultorio médico. REMIJ [internet]. 2021 nov [citado 04 Jul 2024]; 21 (2):19-31. Disponible en: </w:t>
      </w:r>
      <w:hyperlink r:id="rId1" w:history="1">
        <w:r w:rsidR="00930CAE" w:rsidRPr="00470588">
          <w:rPr>
            <w:rStyle w:val="Hyperlink"/>
            <w:sz w:val="24"/>
            <w:szCs w:val="24"/>
          </w:rPr>
          <w:t>https://remij.sld.cu/index.php/remij/article/view/291</w:t>
        </w:r>
      </w:hyperlink>
      <w:r w:rsidR="00930CAE" w:rsidRPr="00470588">
        <w:rPr>
          <w:sz w:val="24"/>
          <w:szCs w:val="24"/>
        </w:rPr>
        <w:t xml:space="preserve"> </w:t>
      </w:r>
    </w:p>
  </w:endnote>
  <w:endnote w:id="2">
    <w:p w14:paraId="7D4BFFB4" w14:textId="035C67AE" w:rsidR="00B87F86" w:rsidRPr="00470588" w:rsidRDefault="00B87F86" w:rsidP="00B87F86">
      <w:pPr>
        <w:contextualSpacing/>
      </w:pPr>
      <w:r w:rsidRPr="00470588">
        <w:rPr>
          <w:rStyle w:val="EndnoteReference"/>
        </w:rPr>
        <w:endnoteRef/>
      </w:r>
      <w:r w:rsidRPr="00470588">
        <w:t xml:space="preserve"> Pérez D, Gámez D. Estado actual de la Mortalidad por Diabetes Mellitus en el mundo y en Cuba [internet]. Convención Internacional de Salud: Cuba Salud; 2018. [citado 23 Jun 2024] Disponible en:  </w:t>
      </w:r>
      <w:hyperlink r:id="rId2" w:history="1">
        <w:r w:rsidRPr="00470588">
          <w:rPr>
            <w:color w:val="0563C1" w:themeColor="hyperlink"/>
            <w:u w:val="single"/>
          </w:rPr>
          <w:t>https://www.researchgate.net/profile/Donelia-Gamez-Sanchez/publication/337720183_Estado_actual_de_la_Mortalidad_por_Diabetes_Mellitus_en_el_mundo_y_en_Cuba/links/5de6c17b299bf10bc33d543a/Estado-actual-de-la-Mortalidad-por-Diabetes-Mellitus-en-el-mundo-y-en-Cuba.pdf</w:t>
        </w:r>
      </w:hyperlink>
    </w:p>
  </w:endnote>
  <w:endnote w:id="3">
    <w:p w14:paraId="2D50E5B2" w14:textId="583EA0BF" w:rsidR="00B87F86" w:rsidRPr="00470588" w:rsidRDefault="00B87F86" w:rsidP="00B87F86">
      <w:pPr>
        <w:contextualSpacing/>
      </w:pPr>
      <w:r w:rsidRPr="00470588">
        <w:rPr>
          <w:rStyle w:val="EndnoteReference"/>
        </w:rPr>
        <w:endnoteRef/>
      </w:r>
      <w:r w:rsidRPr="00470588">
        <w:t xml:space="preserve"> Arnold Y, Licea ME, Hernández J. Algunos apuntes sobre la Epidemiología de la diabetes mellitus tipo 1. </w:t>
      </w:r>
      <w:bookmarkStart w:id="9" w:name="_Hlk116488561"/>
      <w:r w:rsidRPr="00470588">
        <w:t>Rev Cub Salud Publica</w:t>
      </w:r>
      <w:bookmarkEnd w:id="9"/>
      <w:r w:rsidRPr="00470588">
        <w:t xml:space="preserve"> [Internet]. 2018 [citado 04 Jul 2024]; 44(3): e1127. Disponible en: </w:t>
      </w:r>
      <w:hyperlink r:id="rId3" w:history="1">
        <w:r w:rsidRPr="00470588">
          <w:rPr>
            <w:color w:val="0563C1" w:themeColor="hyperlink"/>
            <w:u w:val="single"/>
          </w:rPr>
          <w:t>https://www.scielosp.org/pdf/rcsp/2018.v44n3/e1127/es</w:t>
        </w:r>
      </w:hyperlink>
    </w:p>
  </w:endnote>
  <w:endnote w:id="4">
    <w:p w14:paraId="7E921D22" w14:textId="26F145F0" w:rsidR="00B87F86" w:rsidRPr="0043049E" w:rsidRDefault="00B87F86" w:rsidP="00B87F86">
      <w:pPr>
        <w:contextualSpacing/>
        <w:rPr>
          <w:u w:val="single"/>
          <w:lang w:val="en-US"/>
        </w:rPr>
      </w:pPr>
      <w:r w:rsidRPr="00470588">
        <w:rPr>
          <w:rStyle w:val="EndnoteReference"/>
        </w:rPr>
        <w:endnoteRef/>
      </w:r>
      <w:r w:rsidRPr="0043049E">
        <w:rPr>
          <w:lang w:val="en-US"/>
        </w:rPr>
        <w:t xml:space="preserve"> Gil J, Sicras-Mainar A, Zucchelli E. Uncontrolled diabetes and health care utilisation: panel data evidence from Spain. Eur J Health Econ [Internet]. 2018 Jul [cited 2024 Jan 04];19(6):785-795. Available from: </w:t>
      </w:r>
      <w:hyperlink r:id="rId4" w:history="1">
        <w:r w:rsidRPr="0043049E">
          <w:rPr>
            <w:color w:val="0563C1" w:themeColor="hyperlink"/>
            <w:u w:val="single"/>
            <w:lang w:val="en-US"/>
          </w:rPr>
          <w:t>http://diposit.ub.edu/dspace/bitstream/2445/123174/1/673051.pdf</w:t>
        </w:r>
      </w:hyperlink>
    </w:p>
  </w:endnote>
  <w:endnote w:id="5">
    <w:p w14:paraId="61F1D9E6" w14:textId="234FBE84" w:rsidR="00A33A2F" w:rsidRPr="00470588" w:rsidRDefault="00A33A2F" w:rsidP="00A33A2F">
      <w:pPr>
        <w:contextualSpacing/>
      </w:pPr>
      <w:r w:rsidRPr="00470588">
        <w:rPr>
          <w:rStyle w:val="EndnoteReference"/>
        </w:rPr>
        <w:endnoteRef/>
      </w:r>
      <w:r w:rsidRPr="00470588">
        <w:t xml:space="preserve"> Federación Internacional de Diabetes. Atlas de la Diabetes de la FID. 9.ª ed. Bruselas, Bélgica; FID; 2019. [citado 22 Jun 2024]. Disponible en: </w:t>
      </w:r>
      <w:hyperlink r:id="rId5" w:history="1">
        <w:r w:rsidRPr="00470588">
          <w:rPr>
            <w:color w:val="0563C1" w:themeColor="hyperlink"/>
            <w:u w:val="single"/>
          </w:rPr>
          <w:t>https://diabetesatlas.org/upload/resources/material/20200302_133352_2406-IDF-ATLAS-SPAN-BOOK.pdf</w:t>
        </w:r>
      </w:hyperlink>
    </w:p>
  </w:endnote>
  <w:endnote w:id="6">
    <w:p w14:paraId="56A12343" w14:textId="1BA7D616" w:rsidR="00044D0B" w:rsidRPr="008F5B1A" w:rsidRDefault="00044D0B" w:rsidP="00044D0B">
      <w:pPr>
        <w:contextualSpacing/>
        <w:rPr>
          <w:lang w:val="en-US"/>
        </w:rPr>
      </w:pPr>
      <w:r w:rsidRPr="00470588">
        <w:rPr>
          <w:rStyle w:val="EndnoteReference"/>
        </w:rPr>
        <w:endnoteRef/>
      </w:r>
      <w:r w:rsidRPr="0043049E">
        <w:rPr>
          <w:lang w:val="en-US"/>
        </w:rPr>
        <w:t xml:space="preserve"> Bansal M, Shah M, Reilly B, Willman S, Gill M, Kaufman FR. Impact of Reducing Glycated Hemoglobin on Healthcare Costs Among a Population with Uncontrolled Diabetes. Appl Health Econ Health Policy [Internet]. 2018 Oct [cited 2024 Jul 18];16(5):675-684. </w:t>
      </w:r>
      <w:r w:rsidRPr="008F5B1A">
        <w:rPr>
          <w:lang w:val="en-US"/>
        </w:rPr>
        <w:t xml:space="preserve">Available from: </w:t>
      </w:r>
      <w:hyperlink r:id="rId6" w:anchor="citeas" w:history="1">
        <w:r w:rsidRPr="008F5B1A">
          <w:rPr>
            <w:color w:val="0563C1" w:themeColor="hyperlink"/>
            <w:u w:val="single"/>
            <w:lang w:val="en-US"/>
          </w:rPr>
          <w:t>https://link.springer.com/article/10.1007/s40258-018-0398-2#citeas</w:t>
        </w:r>
      </w:hyperlink>
      <w:r w:rsidRPr="008F5B1A">
        <w:rPr>
          <w:u w:val="single"/>
          <w:lang w:val="en-US"/>
        </w:rPr>
        <w:t xml:space="preserve"> </w:t>
      </w:r>
      <w:r w:rsidRPr="008F5B1A">
        <w:rPr>
          <w:lang w:val="en-US"/>
        </w:rPr>
        <w:t xml:space="preserve"> </w:t>
      </w:r>
    </w:p>
  </w:endnote>
  <w:endnote w:id="7">
    <w:p w14:paraId="311E92A7" w14:textId="3EFB1D90" w:rsidR="00044D0B" w:rsidRPr="00470588" w:rsidRDefault="00044D0B" w:rsidP="00044D0B">
      <w:pPr>
        <w:contextualSpacing/>
      </w:pPr>
      <w:r w:rsidRPr="00470588">
        <w:rPr>
          <w:rStyle w:val="EndnoteReference"/>
        </w:rPr>
        <w:endnoteRef/>
      </w:r>
      <w:r w:rsidRPr="00470588">
        <w:t xml:space="preserve"> Zepeda A, Castañeda Y, Rodríguez J, Sánchez A, Ríos S, Gutierrez R. Años de vida productiva perdidos por invalidez por diabetes mellitus. Rev Cub Salud Publica [Internet]. 2022 [citado 12 Jul 2024]; 48 (3) Disponible en: </w:t>
      </w:r>
      <w:hyperlink r:id="rId7" w:history="1">
        <w:r w:rsidRPr="00470588">
          <w:rPr>
            <w:color w:val="0563C1" w:themeColor="hyperlink"/>
            <w:u w:val="single"/>
          </w:rPr>
          <w:t>http://www.revsaludpublica.sld.cu/index.php/spu/article/view/3375/1843</w:t>
        </w:r>
      </w:hyperlink>
    </w:p>
  </w:endnote>
  <w:endnote w:id="8">
    <w:p w14:paraId="4EF23580" w14:textId="468388BE" w:rsidR="00044D0B" w:rsidRPr="00470588" w:rsidRDefault="00044D0B" w:rsidP="00044D0B">
      <w:pPr>
        <w:contextualSpacing/>
      </w:pPr>
      <w:r w:rsidRPr="00470588">
        <w:rPr>
          <w:rStyle w:val="EndnoteReference"/>
        </w:rPr>
        <w:endnoteRef/>
      </w:r>
      <w:r w:rsidRPr="00470588">
        <w:t xml:space="preserve"> MINSAP. Anuario Estadístico de Salud de Cuba [internet] 2022 [citado 18 Jun 2024]. Disponible en: </w:t>
      </w:r>
      <w:hyperlink r:id="rId8" w:history="1">
        <w:r w:rsidRPr="00470588">
          <w:rPr>
            <w:rStyle w:val="Hyperlink"/>
          </w:rPr>
          <w:t>files.sld.cu/dne/files/2023/10/Anuario-Estadistico-de-Salud-2022-Ed-20231.pdf</w:t>
        </w:r>
      </w:hyperlink>
    </w:p>
  </w:endnote>
  <w:endnote w:id="9">
    <w:p w14:paraId="2087C7A4" w14:textId="1B4D1EAD" w:rsidR="00044D0B" w:rsidRPr="00470588" w:rsidRDefault="00044D0B" w:rsidP="00044D0B">
      <w:pPr>
        <w:contextualSpacing/>
        <w:rPr>
          <w:u w:val="single"/>
        </w:rPr>
      </w:pPr>
      <w:r w:rsidRPr="00470588">
        <w:rPr>
          <w:rStyle w:val="EndnoteReference"/>
        </w:rPr>
        <w:endnoteRef/>
      </w:r>
      <w:r w:rsidRPr="00470588">
        <w:t xml:space="preserve"> Yanes M. Diabetes mellitus: un problema de salud en Cuba. Rev cubana med [Internet]. 2019 [citado 23 </w:t>
      </w:r>
      <w:r w:rsidR="009D7DC1" w:rsidRPr="00470588">
        <w:t>Jun 2024</w:t>
      </w:r>
      <w:r w:rsidRPr="00470588">
        <w:t xml:space="preserve">]; 58(4):1-4.  Disponible en: </w:t>
      </w:r>
      <w:hyperlink r:id="rId9" w:history="1">
        <w:r w:rsidRPr="00470588">
          <w:rPr>
            <w:color w:val="0563C1" w:themeColor="hyperlink"/>
            <w:u w:val="single"/>
          </w:rPr>
          <w:t>https://www.medigraphic.com/pdfs/revcubmed/cm-2019/cm194a.pdf</w:t>
        </w:r>
      </w:hyperlink>
    </w:p>
  </w:endnote>
  <w:endnote w:id="10">
    <w:p w14:paraId="1B60BA57" w14:textId="02A1BB5F" w:rsidR="009D7DC1" w:rsidRPr="00470588" w:rsidRDefault="009D7DC1" w:rsidP="009D7DC1">
      <w:pPr>
        <w:contextualSpacing/>
      </w:pPr>
      <w:r w:rsidRPr="00470588">
        <w:rPr>
          <w:rStyle w:val="EndnoteReference"/>
        </w:rPr>
        <w:endnoteRef/>
      </w:r>
      <w:r w:rsidRPr="00470588">
        <w:t xml:space="preserve"> Bayarre HD, Álvarez ME, Pérez JS, Almenares K, Rodríguez A, Pría MC, et al. Enfoques, evolución y afrontamiento del envejecimiento demográfico en Cuba. Rev. Panam. Salud Pública. [Internet]. 2018 Apr [citado 22 Jun 2024];42:e21. Disponible en: </w:t>
      </w:r>
      <w:hyperlink r:id="rId10" w:history="1">
        <w:r w:rsidRPr="00470588">
          <w:rPr>
            <w:color w:val="0563C1" w:themeColor="hyperlink"/>
            <w:u w:val="single"/>
          </w:rPr>
          <w:t>https://www.scielosp.org/pdf/rpsp/2018.v42/e21/es</w:t>
        </w:r>
      </w:hyperlink>
    </w:p>
  </w:endnote>
  <w:endnote w:id="11">
    <w:p w14:paraId="4032C6F7" w14:textId="3AD904B5" w:rsidR="009D7DC1" w:rsidRPr="00470588" w:rsidRDefault="009D7DC1" w:rsidP="009D7DC1">
      <w:pPr>
        <w:contextualSpacing/>
      </w:pPr>
      <w:r w:rsidRPr="00470588">
        <w:rPr>
          <w:rStyle w:val="EndnoteReference"/>
        </w:rPr>
        <w:endnoteRef/>
      </w:r>
      <w:r w:rsidRPr="00470588">
        <w:t xml:space="preserve"> Iglesias I, Díaz O, Orlandi N. Centros de Atención al Diabético en Cuba como alternativa para la atención integral. INFODIR [Internet]. 2020 [citado 05 Jul 2024]; 16(33):1-14. Disponible en: </w:t>
      </w:r>
      <w:hyperlink r:id="rId11" w:history="1">
        <w:r w:rsidRPr="00470588">
          <w:rPr>
            <w:color w:val="0563C1" w:themeColor="hyperlink"/>
            <w:u w:val="single"/>
          </w:rPr>
          <w:t>https://www.medigraphic.com/pdfs/infodir/ifd-2020/ifd2033s.pdf</w:t>
        </w:r>
      </w:hyperlink>
    </w:p>
  </w:endnote>
  <w:endnote w:id="12">
    <w:p w14:paraId="4A3BA70D" w14:textId="7B9EBAEC" w:rsidR="00A13C31" w:rsidRPr="0043049E" w:rsidRDefault="00A13C31" w:rsidP="00E37D9F">
      <w:pPr>
        <w:rPr>
          <w:lang w:val="en-US"/>
        </w:rPr>
      </w:pPr>
      <w:r w:rsidRPr="00470588">
        <w:rPr>
          <w:rStyle w:val="EndnoteReference"/>
        </w:rPr>
        <w:endnoteRef/>
      </w:r>
      <w:r w:rsidRPr="0043049E">
        <w:rPr>
          <w:lang w:val="en-US"/>
        </w:rPr>
        <w:t xml:space="preserve"> </w:t>
      </w:r>
      <w:r w:rsidRPr="0043049E">
        <w:rPr>
          <w:color w:val="212121"/>
          <w:shd w:val="clear" w:color="auto" w:fill="FFFFFF"/>
          <w:lang w:val="en-US"/>
        </w:rPr>
        <w:t>Burgess J, Frank B, Marshall A, Khalil RS, Ponirakis G, Petropoulos IN, Cuthbertson DJ, Malik RA, Alam U. Early</w:t>
      </w:r>
      <w:r w:rsidRPr="0043049E">
        <w:rPr>
          <w:rFonts w:ascii="Roboto" w:hAnsi="Roboto"/>
          <w:color w:val="212121"/>
          <w:sz w:val="26"/>
          <w:szCs w:val="26"/>
          <w:shd w:val="clear" w:color="auto" w:fill="FFFFFF"/>
          <w:lang w:val="en-US"/>
        </w:rPr>
        <w:t xml:space="preserve"> Detection of Diabetic Peripheral Neuropathy: A Focus on Small Nerve Fibres. Diagnostics (Basel) [Internet]. 2021 Jan [Cited 2024 Jun 04];11(2):165. </w:t>
      </w:r>
      <w:r w:rsidRPr="0043049E">
        <w:rPr>
          <w:lang w:val="en-US"/>
        </w:rPr>
        <w:t xml:space="preserve">Available from: </w:t>
      </w:r>
      <w:hyperlink r:id="rId12" w:history="1">
        <w:r w:rsidRPr="0043049E">
          <w:rPr>
            <w:rStyle w:val="Hyperlink"/>
            <w:lang w:val="en-US"/>
          </w:rPr>
          <w:t>https://www.ncbi.nlm.nih.gov/pmc/articles/PMC7911433/pdf/diagnostics-11-00165.pdf</w:t>
        </w:r>
      </w:hyperlink>
      <w:r w:rsidRPr="0043049E">
        <w:rPr>
          <w:lang w:val="en-US"/>
        </w:rPr>
        <w:t xml:space="preserve"> </w:t>
      </w:r>
    </w:p>
  </w:endnote>
  <w:endnote w:id="13">
    <w:p w14:paraId="15EBEC6A" w14:textId="0FE0EEFE" w:rsidR="003A6618" w:rsidRPr="0043049E" w:rsidRDefault="003A6618" w:rsidP="00AB15D5">
      <w:pPr>
        <w:rPr>
          <w:lang w:val="en-US"/>
        </w:rPr>
      </w:pPr>
      <w:r w:rsidRPr="00470588">
        <w:rPr>
          <w:rStyle w:val="EndnoteReference"/>
        </w:rPr>
        <w:endnoteRef/>
      </w:r>
      <w:r w:rsidRPr="008F5B1A">
        <w:rPr>
          <w:lang w:val="en-US"/>
        </w:rPr>
        <w:t xml:space="preserve"> Ponirakis G, Elhadd T, Chinnaiyan S, Dabbous Z, Siddiqui M, Al-Muhannadi H, Petropoulos IN, Khan A, Ashawesh KAE, Dukhan KMO, Mahfoud ZR, Murgatroyd C, Slevin M, Malik RA. </w:t>
      </w:r>
      <w:r w:rsidRPr="0043049E">
        <w:rPr>
          <w:lang w:val="en-US"/>
        </w:rPr>
        <w:t>Prevalence and management of diabetic neuropathy in secondary care in Qatar. Diabetes Metab Res Rev</w:t>
      </w:r>
      <w:r w:rsidR="007B3246" w:rsidRPr="0043049E">
        <w:rPr>
          <w:lang w:val="en-US"/>
        </w:rPr>
        <w:t xml:space="preserve"> [Internet].</w:t>
      </w:r>
      <w:r w:rsidRPr="0043049E">
        <w:rPr>
          <w:lang w:val="en-US"/>
        </w:rPr>
        <w:t xml:space="preserve"> 2020 May</w:t>
      </w:r>
      <w:r w:rsidR="007B3246" w:rsidRPr="0043049E">
        <w:rPr>
          <w:lang w:val="en-US"/>
        </w:rPr>
        <w:t xml:space="preserve"> </w:t>
      </w:r>
      <w:bookmarkStart w:id="21" w:name="_Hlk176888845"/>
      <w:r w:rsidR="007B3246" w:rsidRPr="0043049E">
        <w:rPr>
          <w:lang w:val="en-US"/>
        </w:rPr>
        <w:t>[Cited 2024 Jun 10]</w:t>
      </w:r>
      <w:bookmarkEnd w:id="21"/>
      <w:r w:rsidRPr="0043049E">
        <w:rPr>
          <w:lang w:val="en-US"/>
        </w:rPr>
        <w:t>;36(4):</w:t>
      </w:r>
      <w:r w:rsidR="00137E85" w:rsidRPr="0043049E">
        <w:rPr>
          <w:lang w:val="en-US"/>
        </w:rPr>
        <w:t xml:space="preserve"> </w:t>
      </w:r>
      <w:r w:rsidRPr="0043049E">
        <w:rPr>
          <w:lang w:val="en-US"/>
        </w:rPr>
        <w:t xml:space="preserve">e3286. </w:t>
      </w:r>
      <w:bookmarkStart w:id="22" w:name="_Hlk176888017"/>
      <w:r w:rsidRPr="0043049E">
        <w:rPr>
          <w:lang w:val="en-US"/>
        </w:rPr>
        <w:t xml:space="preserve">Available from: </w:t>
      </w:r>
      <w:bookmarkEnd w:id="22"/>
      <w:r w:rsidRPr="00470588">
        <w:fldChar w:fldCharType="begin"/>
      </w:r>
      <w:r w:rsidRPr="0043049E">
        <w:rPr>
          <w:lang w:val="en-US"/>
        </w:rPr>
        <w:instrText>HYPERLINK "https://onlinelibrary.wiley.com/doi/10.1002/dmrr.3286"</w:instrText>
      </w:r>
      <w:r w:rsidRPr="00470588">
        <w:fldChar w:fldCharType="separate"/>
      </w:r>
      <w:r w:rsidRPr="0043049E">
        <w:rPr>
          <w:rStyle w:val="Hyperlink"/>
          <w:lang w:val="en-US"/>
        </w:rPr>
        <w:t>https://onlinelibrary.wiley.com/doi/10.1002/dmrr.3286</w:t>
      </w:r>
      <w:r w:rsidRPr="00470588">
        <w:fldChar w:fldCharType="end"/>
      </w:r>
      <w:r w:rsidRPr="0043049E">
        <w:rPr>
          <w:lang w:val="en-US"/>
        </w:rPr>
        <w:t xml:space="preserve"> </w:t>
      </w:r>
    </w:p>
  </w:endnote>
  <w:endnote w:id="14">
    <w:p w14:paraId="34EF60E8" w14:textId="7DA9ADC7" w:rsidR="0000489A" w:rsidRPr="0043049E" w:rsidRDefault="0000489A" w:rsidP="0000489A">
      <w:pPr>
        <w:contextualSpacing/>
        <w:rPr>
          <w:rFonts w:eastAsia="Calibri"/>
          <w:lang w:val="en-US"/>
        </w:rPr>
      </w:pPr>
      <w:r w:rsidRPr="00470588">
        <w:rPr>
          <w:rStyle w:val="EndnoteReference"/>
        </w:rPr>
        <w:endnoteRef/>
      </w:r>
      <w:r w:rsidRPr="004F0E8A">
        <w:rPr>
          <w:lang w:val="es-CU"/>
        </w:rPr>
        <w:t xml:space="preserve"> </w:t>
      </w:r>
      <w:r w:rsidRPr="004F0E8A">
        <w:rPr>
          <w:rFonts w:eastAsia="Calibri"/>
          <w:lang w:val="es-CU"/>
        </w:rPr>
        <w:t xml:space="preserve">Mirzaei M, Rahmaninan M, Mirzaei M, Nadjarzadeh A, Dehghani Tafti AA. </w:t>
      </w:r>
      <w:r w:rsidRPr="0043049E">
        <w:rPr>
          <w:rFonts w:eastAsia="Calibri"/>
          <w:lang w:val="en-US"/>
        </w:rPr>
        <w:t xml:space="preserve">Epidemiology of diabetes mellitus, pre-diabetes, undiagnosed and uncontrolled diabetes in Central Iran: results from Yazd health study [internet]. BMC Public Health. 2020 Feb [cited 2024 May 25];20(1):166. Available from: </w:t>
      </w:r>
      <w:hyperlink r:id="rId13" w:history="1">
        <w:r w:rsidRPr="0043049E">
          <w:rPr>
            <w:rFonts w:eastAsia="Calibri"/>
            <w:color w:val="0563C1"/>
            <w:u w:val="single"/>
            <w:lang w:val="en-US"/>
          </w:rPr>
          <w:t>https://link.springer.com/content/pdf/10.1186/s12889-020-8267-y.pdf</w:t>
        </w:r>
      </w:hyperlink>
    </w:p>
  </w:endnote>
  <w:endnote w:id="15">
    <w:p w14:paraId="057974C8" w14:textId="721C5E13" w:rsidR="0000489A" w:rsidRPr="0043049E" w:rsidRDefault="0000489A" w:rsidP="0000489A">
      <w:pPr>
        <w:contextualSpacing/>
        <w:rPr>
          <w:lang w:val="en-US"/>
        </w:rPr>
      </w:pPr>
      <w:r w:rsidRPr="00470588">
        <w:rPr>
          <w:rStyle w:val="EndnoteReference"/>
        </w:rPr>
        <w:endnoteRef/>
      </w:r>
      <w:r w:rsidRPr="0043049E">
        <w:rPr>
          <w:lang w:val="en-US"/>
        </w:rPr>
        <w:t xml:space="preserve"> Schmidt AM. Highlighting Diabetes Mellitus: The Epidemic Continues. Arterioscler Thromb Vasc Biol [Internet]. 2018 Jan [cited 2024 Jun 04];38(1):e1-e8. Available from: </w:t>
      </w:r>
      <w:hyperlink r:id="rId14" w:history="1">
        <w:r w:rsidRPr="0043049E">
          <w:rPr>
            <w:color w:val="0563C1" w:themeColor="hyperlink"/>
            <w:u w:val="single"/>
            <w:lang w:val="en-US"/>
          </w:rPr>
          <w:t>https://www.ncbi.nlm.nih.gov/pmc/articles/PMC5776687/pdf/nihms922546.pdf</w:t>
        </w:r>
      </w:hyperlink>
    </w:p>
  </w:endnote>
  <w:endnote w:id="16">
    <w:p w14:paraId="50881491" w14:textId="0753298D" w:rsidR="0000489A" w:rsidRPr="0043049E" w:rsidRDefault="0000489A" w:rsidP="0000489A">
      <w:pPr>
        <w:contextualSpacing/>
        <w:rPr>
          <w:lang w:val="en-US"/>
        </w:rPr>
      </w:pPr>
      <w:r w:rsidRPr="00470588">
        <w:rPr>
          <w:rStyle w:val="EndnoteReference"/>
        </w:rPr>
        <w:endnoteRef/>
      </w:r>
      <w:r w:rsidRPr="0043049E">
        <w:rPr>
          <w:lang w:val="en-US"/>
        </w:rPr>
        <w:t xml:space="preserve"> Mannino GC, Andreozzi F, Sesti G. Pharmacogenetics of type 2 diabetes mellitus, the route toward tailored medicine. Diabetes Metab Res Rev [Internet]. 2019 Mar [cited 2024 Jun 04];35(3):e3109. Available from: </w:t>
      </w:r>
      <w:hyperlink r:id="rId15" w:history="1">
        <w:r w:rsidRPr="0043049E">
          <w:rPr>
            <w:color w:val="0563C1" w:themeColor="hyperlink"/>
            <w:u w:val="single"/>
            <w:lang w:val="en-US"/>
          </w:rPr>
          <w:t>https://www.ncbi.nlm.nih.gov/pmc/articles/PMC6590177/pdf/DMRR-35-na.pdf</w:t>
        </w:r>
      </w:hyperlink>
    </w:p>
  </w:endnote>
  <w:endnote w:id="17">
    <w:p w14:paraId="34532721" w14:textId="7CB12D27" w:rsidR="0000489A" w:rsidRPr="0043049E" w:rsidRDefault="0000489A" w:rsidP="0000489A">
      <w:pPr>
        <w:contextualSpacing/>
        <w:rPr>
          <w:lang w:val="en-US"/>
        </w:rPr>
      </w:pPr>
      <w:r w:rsidRPr="00470588">
        <w:rPr>
          <w:rStyle w:val="EndnoteReference"/>
        </w:rPr>
        <w:endnoteRef/>
      </w:r>
      <w:r w:rsidRPr="0043049E">
        <w:rPr>
          <w:lang w:val="en-US"/>
        </w:rPr>
        <w:t xml:space="preserve"> Valaiyapathi B, Gower B, Ashraf AP. Pathophysiology of Type 2 Diabetes in Children and Adolescents. Curr Diabetes Rev [Internet]. 2020 [cited 2024 Jun 04];16(3):220-229. Available from: </w:t>
      </w:r>
      <w:hyperlink r:id="rId16" w:history="1">
        <w:r w:rsidRPr="0043049E">
          <w:rPr>
            <w:color w:val="0563C1" w:themeColor="hyperlink"/>
            <w:u w:val="single"/>
            <w:lang w:val="en-US"/>
          </w:rPr>
          <w:t>https://www.ncbi.nlm.nih.gov/pmc/articles/PMC7516333/pdf/CDR-16-220.pdf</w:t>
        </w:r>
      </w:hyperlink>
    </w:p>
  </w:endnote>
  <w:endnote w:id="18">
    <w:p w14:paraId="26AFBF35" w14:textId="3A5E66F2" w:rsidR="0000489A" w:rsidRPr="0043049E" w:rsidRDefault="0000489A" w:rsidP="0000489A">
      <w:pPr>
        <w:contextualSpacing/>
        <w:rPr>
          <w:lang w:val="en-US"/>
        </w:rPr>
      </w:pPr>
      <w:r w:rsidRPr="00470588">
        <w:rPr>
          <w:rStyle w:val="EndnoteReference"/>
        </w:rPr>
        <w:endnoteRef/>
      </w:r>
      <w:r w:rsidRPr="0043049E">
        <w:rPr>
          <w:lang w:val="en-US"/>
        </w:rPr>
        <w:t xml:space="preserve"> Weiss R, Santoro N, Giannini C, Galderisi A, Umano GR, Caprio S. Prediabetes in youth - mechanisms and biomarkers. Lancet Child Adolesc Health [Internet]. 2017 Nov [cited 2022 Jun 04];1(3):240-248. Available from: </w:t>
      </w:r>
      <w:hyperlink r:id="rId17" w:history="1">
        <w:r w:rsidRPr="0043049E">
          <w:rPr>
            <w:color w:val="0563C1" w:themeColor="hyperlink"/>
            <w:u w:val="single"/>
            <w:lang w:val="en-US"/>
          </w:rPr>
          <w:t>https://www.ncbi.nlm.nih.gov/pmc/articles/PMC5652329/pdf/nihms910513.pdf</w:t>
        </w:r>
      </w:hyperlink>
    </w:p>
  </w:endnote>
  <w:endnote w:id="19">
    <w:p w14:paraId="2F379AC2" w14:textId="77777777" w:rsidR="004D5B70" w:rsidRPr="00470588" w:rsidRDefault="004D5B70" w:rsidP="00FC130B">
      <w:pPr>
        <w:pStyle w:val="EndnoteText"/>
        <w:spacing w:line="480" w:lineRule="auto"/>
        <w:rPr>
          <w:sz w:val="24"/>
          <w:szCs w:val="24"/>
        </w:rPr>
      </w:pPr>
      <w:r w:rsidRPr="00470588">
        <w:rPr>
          <w:rStyle w:val="EndnoteReference"/>
          <w:sz w:val="24"/>
          <w:szCs w:val="24"/>
        </w:rPr>
        <w:endnoteRef/>
      </w:r>
      <w:r w:rsidRPr="00470588">
        <w:rPr>
          <w:sz w:val="24"/>
          <w:szCs w:val="24"/>
        </w:rPr>
        <w:t xml:space="preserve"> Castillo JA, Macías AR, Suárez Y. Estudio teórico sobre la actividad física terapéutica a pacientes diabéticos tipo 2 complicados con Neuropatía Diabética Periférica Distal (Original). Rev olimpia [Internet]. 2023 Nov </w:t>
      </w:r>
      <w:bookmarkStart w:id="33" w:name="_Hlk176894780"/>
      <w:r w:rsidRPr="00470588">
        <w:rPr>
          <w:sz w:val="24"/>
          <w:szCs w:val="24"/>
        </w:rPr>
        <w:t>[citado 12 Jun 2024]</w:t>
      </w:r>
      <w:bookmarkEnd w:id="33"/>
      <w:r w:rsidRPr="00470588">
        <w:rPr>
          <w:sz w:val="24"/>
          <w:szCs w:val="24"/>
        </w:rPr>
        <w:t xml:space="preserve">; 20(4):203-16. </w:t>
      </w:r>
      <w:bookmarkStart w:id="34" w:name="_Hlk176894455"/>
      <w:r w:rsidRPr="00470588">
        <w:rPr>
          <w:sz w:val="24"/>
          <w:szCs w:val="24"/>
        </w:rPr>
        <w:t xml:space="preserve">Disponible en: </w:t>
      </w:r>
      <w:bookmarkEnd w:id="34"/>
      <w:r w:rsidRPr="00470588">
        <w:rPr>
          <w:sz w:val="24"/>
          <w:szCs w:val="24"/>
        </w:rPr>
        <w:fldChar w:fldCharType="begin"/>
      </w:r>
      <w:r w:rsidRPr="00470588">
        <w:rPr>
          <w:sz w:val="24"/>
          <w:szCs w:val="24"/>
        </w:rPr>
        <w:instrText>HYPERLINK "https://revistas.udg.co.cu/index.php/olimpia/article/view/4207"</w:instrText>
      </w:r>
      <w:r w:rsidRPr="00470588">
        <w:rPr>
          <w:sz w:val="24"/>
          <w:szCs w:val="24"/>
        </w:rPr>
      </w:r>
      <w:r w:rsidRPr="00470588">
        <w:rPr>
          <w:sz w:val="24"/>
          <w:szCs w:val="24"/>
        </w:rPr>
        <w:fldChar w:fldCharType="separate"/>
      </w:r>
      <w:r w:rsidRPr="00470588">
        <w:rPr>
          <w:rStyle w:val="Hyperlink"/>
          <w:sz w:val="24"/>
          <w:szCs w:val="24"/>
        </w:rPr>
        <w:t>https://revistas.udg.co.cu/index.php/olimpia/article/view/4207</w:t>
      </w:r>
      <w:r w:rsidRPr="00470588">
        <w:rPr>
          <w:sz w:val="24"/>
          <w:szCs w:val="24"/>
        </w:rPr>
        <w:fldChar w:fldCharType="end"/>
      </w:r>
      <w:r w:rsidRPr="00470588">
        <w:rPr>
          <w:sz w:val="24"/>
          <w:szCs w:val="24"/>
        </w:rPr>
        <w:t xml:space="preserve"> </w:t>
      </w:r>
    </w:p>
  </w:endnote>
  <w:endnote w:id="20">
    <w:p w14:paraId="0338C166" w14:textId="77777777" w:rsidR="004D5B70" w:rsidRPr="0043049E" w:rsidRDefault="004D5B70" w:rsidP="004D5B70">
      <w:pPr>
        <w:pStyle w:val="EndnoteText"/>
        <w:spacing w:line="480" w:lineRule="auto"/>
        <w:rPr>
          <w:lang w:val="en-US"/>
        </w:rPr>
      </w:pPr>
      <w:r w:rsidRPr="00470588">
        <w:rPr>
          <w:rStyle w:val="EndnoteReference"/>
          <w:sz w:val="24"/>
          <w:szCs w:val="24"/>
        </w:rPr>
        <w:endnoteRef/>
      </w:r>
      <w:r w:rsidRPr="0043049E">
        <w:rPr>
          <w:sz w:val="24"/>
          <w:szCs w:val="24"/>
          <w:lang w:val="en-US"/>
        </w:rPr>
        <w:t xml:space="preserve"> American Diabetes Association. 11. Microvascular Complications and Foot Care: Standards of Medical Care in Diabetes-2020. Diabetes Care. 2020 Jan;43(Suppl 1): S135-S151.</w:t>
      </w:r>
      <w:r w:rsidRPr="0043049E">
        <w:rPr>
          <w:lang w:val="en-US"/>
        </w:rPr>
        <w:t xml:space="preserve"> </w:t>
      </w:r>
      <w:r w:rsidRPr="0043049E">
        <w:rPr>
          <w:sz w:val="24"/>
          <w:szCs w:val="24"/>
          <w:lang w:val="en-US"/>
        </w:rPr>
        <w:t>Disponible en:</w:t>
      </w:r>
      <w:r w:rsidRPr="0043049E">
        <w:rPr>
          <w:lang w:val="en-US"/>
        </w:rPr>
        <w:t xml:space="preserve"> </w:t>
      </w:r>
      <w:hyperlink r:id="rId18" w:history="1">
        <w:r w:rsidRPr="0043049E">
          <w:rPr>
            <w:rStyle w:val="Hyperlink"/>
            <w:sz w:val="24"/>
            <w:szCs w:val="24"/>
            <w:lang w:val="en-US"/>
          </w:rPr>
          <w:t>https://diabetesjournals.org/care/article-lookup/doi/10.2337/dc20-S011</w:t>
        </w:r>
      </w:hyperlink>
      <w:r w:rsidRPr="0043049E">
        <w:rPr>
          <w:sz w:val="24"/>
          <w:szCs w:val="24"/>
          <w:lang w:val="en-US"/>
        </w:rPr>
        <w:t xml:space="preserve"> </w:t>
      </w:r>
    </w:p>
  </w:endnote>
  <w:endnote w:id="21">
    <w:p w14:paraId="3C26596E" w14:textId="45FB5320" w:rsidR="00E64E61" w:rsidRPr="00470588" w:rsidRDefault="00E64E61" w:rsidP="00E64E61">
      <w:pPr>
        <w:pStyle w:val="EndnoteText"/>
        <w:spacing w:line="480" w:lineRule="auto"/>
        <w:rPr>
          <w:sz w:val="24"/>
          <w:szCs w:val="24"/>
        </w:rPr>
      </w:pPr>
      <w:r w:rsidRPr="00470588">
        <w:rPr>
          <w:rStyle w:val="EndnoteReference"/>
          <w:sz w:val="24"/>
          <w:szCs w:val="24"/>
        </w:rPr>
        <w:endnoteRef/>
      </w:r>
      <w:r w:rsidRPr="00470588">
        <w:rPr>
          <w:sz w:val="24"/>
          <w:szCs w:val="24"/>
        </w:rPr>
        <w:t xml:space="preserve"> Hernández Rodríguez J. Papel de la neuropatía diabética en la aparición y desarrollo del síndrome del pie diabético. Rev Cubana Med Gen Integr  [Internet]. 2023 Jun [citado 10 Jul 2024];  39(2): Disponible en: </w:t>
      </w:r>
      <w:hyperlink r:id="rId19" w:history="1">
        <w:r w:rsidRPr="00470588">
          <w:rPr>
            <w:rStyle w:val="Hyperlink"/>
            <w:sz w:val="24"/>
            <w:szCs w:val="24"/>
          </w:rPr>
          <w:t>http://scielo.sld.cu/scielo.php?script=sci_arttext&amp;pid=S0864-21252023000200013&amp;lng=es</w:t>
        </w:r>
      </w:hyperlink>
      <w:r w:rsidRPr="00470588">
        <w:rPr>
          <w:sz w:val="24"/>
          <w:szCs w:val="24"/>
        </w:rPr>
        <w:t xml:space="preserve">. </w:t>
      </w:r>
    </w:p>
  </w:endnote>
  <w:endnote w:id="22">
    <w:p w14:paraId="5DD3BF4D" w14:textId="04AE1908" w:rsidR="0032393E" w:rsidRPr="0043049E" w:rsidRDefault="0032393E" w:rsidP="003F3B27">
      <w:pPr>
        <w:rPr>
          <w:lang w:val="en-US"/>
        </w:rPr>
      </w:pPr>
      <w:r w:rsidRPr="00470588">
        <w:rPr>
          <w:rStyle w:val="EndnoteReference"/>
        </w:rPr>
        <w:endnoteRef/>
      </w:r>
      <w:r w:rsidRPr="004F0E8A">
        <w:rPr>
          <w:lang w:val="en-US"/>
        </w:rPr>
        <w:t xml:space="preserve"> Pop-Busui R, Ang L, Boulton AJM, Feldman EL, Marcus RL, Mizokami-Stout K, et al. </w:t>
      </w:r>
      <w:r w:rsidRPr="0043049E">
        <w:rPr>
          <w:lang w:val="en-US"/>
        </w:rPr>
        <w:t xml:space="preserve">Diagnosis and Treatment of Painful Diabetic Peripheral Neuropathy. Arlington (VA): American Diabetes Association; [Internet]. 2022 Feb. </w:t>
      </w:r>
      <w:bookmarkStart w:id="38" w:name="_Hlk176890786"/>
      <w:r w:rsidRPr="008F5B1A">
        <w:rPr>
          <w:lang w:val="en-US"/>
        </w:rPr>
        <w:t>[cited 2024 Jun 11]</w:t>
      </w:r>
      <w:bookmarkEnd w:id="38"/>
      <w:r w:rsidRPr="008F5B1A">
        <w:rPr>
          <w:lang w:val="en-US"/>
        </w:rPr>
        <w:t xml:space="preserve">. </w:t>
      </w:r>
      <w:bookmarkStart w:id="39" w:name="_Hlk176878609"/>
      <w:r w:rsidRPr="0043049E">
        <w:rPr>
          <w:lang w:val="en-US"/>
        </w:rPr>
        <w:t xml:space="preserve">Available from: </w:t>
      </w:r>
      <w:bookmarkEnd w:id="39"/>
      <w:r w:rsidRPr="00470588">
        <w:fldChar w:fldCharType="begin"/>
      </w:r>
      <w:r w:rsidRPr="0043049E">
        <w:rPr>
          <w:lang w:val="en-US"/>
        </w:rPr>
        <w:instrText>HYPERLINK "https://www.ncbi.nlm.nih.gov/books/NBK580224/"</w:instrText>
      </w:r>
      <w:r w:rsidRPr="00470588">
        <w:fldChar w:fldCharType="separate"/>
      </w:r>
      <w:r w:rsidRPr="0043049E">
        <w:rPr>
          <w:rStyle w:val="Hyperlink"/>
          <w:lang w:val="en-US"/>
        </w:rPr>
        <w:t>https://www.ncbi.nlm.nih.gov/books/NBK580224/</w:t>
      </w:r>
      <w:r w:rsidRPr="00470588">
        <w:fldChar w:fldCharType="end"/>
      </w:r>
      <w:r w:rsidRPr="0043049E">
        <w:rPr>
          <w:lang w:val="en-US"/>
        </w:rPr>
        <w:t xml:space="preserve"> </w:t>
      </w:r>
    </w:p>
  </w:endnote>
  <w:endnote w:id="23">
    <w:p w14:paraId="4CA20258" w14:textId="7875338E" w:rsidR="003F3B27" w:rsidRPr="008F5B1A" w:rsidRDefault="003F3B27" w:rsidP="003F3B27">
      <w:pPr>
        <w:pStyle w:val="EndnoteText"/>
        <w:spacing w:line="480" w:lineRule="auto"/>
        <w:rPr>
          <w:lang w:val="en-US"/>
        </w:rPr>
      </w:pPr>
      <w:r w:rsidRPr="00470588">
        <w:rPr>
          <w:rStyle w:val="EndnoteReference"/>
          <w:sz w:val="24"/>
          <w:szCs w:val="24"/>
        </w:rPr>
        <w:endnoteRef/>
      </w:r>
      <w:r w:rsidRPr="008F5B1A">
        <w:rPr>
          <w:sz w:val="24"/>
          <w:szCs w:val="24"/>
          <w:lang w:val="fr-FR"/>
        </w:rPr>
        <w:t xml:space="preserve"> Lu Y, Xing P, Cai X, Luo D, Li R, Lloyd C, et al. </w:t>
      </w:r>
      <w:r w:rsidRPr="0043049E">
        <w:rPr>
          <w:sz w:val="24"/>
          <w:szCs w:val="24"/>
          <w:lang w:val="en-US"/>
        </w:rPr>
        <w:t xml:space="preserve">Prevalence and Risk Factors for Diabetic Peripheral Neuropathy in Type 2 Diabetic Patients From 14 Countries: Estimates of the INTERPRET-DD Study. Front Public Health [Internet].  2020 Oct [Cited 2024 Jun 21]; 8:534372. </w:t>
      </w:r>
      <w:r w:rsidRPr="008F5B1A">
        <w:rPr>
          <w:sz w:val="24"/>
          <w:szCs w:val="24"/>
          <w:lang w:val="en-US"/>
        </w:rPr>
        <w:t xml:space="preserve">Available from: </w:t>
      </w:r>
    </w:p>
  </w:endnote>
  <w:endnote w:id="24">
    <w:p w14:paraId="7EFE80B0" w14:textId="7F11244C" w:rsidR="00A13C31" w:rsidRPr="0043049E" w:rsidRDefault="00A13C31" w:rsidP="0039767B">
      <w:pPr>
        <w:rPr>
          <w:lang w:val="en-US"/>
        </w:rPr>
      </w:pPr>
      <w:r w:rsidRPr="00470588">
        <w:rPr>
          <w:rStyle w:val="EndnoteReference"/>
        </w:rPr>
        <w:endnoteRef/>
      </w:r>
      <w:r w:rsidRPr="0043049E">
        <w:rPr>
          <w:lang w:val="en-US"/>
        </w:rPr>
        <w:t xml:space="preserve"> Chang MC, Yang S. Diabetic peripheral neuropathy essentials: a narrative review. Ann Palliat Med </w:t>
      </w:r>
      <w:bookmarkStart w:id="41" w:name="_Hlk176890754"/>
      <w:r w:rsidRPr="0043049E">
        <w:rPr>
          <w:lang w:val="en-US"/>
        </w:rPr>
        <w:t xml:space="preserve">[Internet]. </w:t>
      </w:r>
      <w:bookmarkEnd w:id="41"/>
      <w:r w:rsidRPr="0043049E">
        <w:rPr>
          <w:lang w:val="en-US"/>
        </w:rPr>
        <w:t xml:space="preserve">2023 Mar </w:t>
      </w:r>
      <w:bookmarkStart w:id="42" w:name="_Hlk176883896"/>
      <w:r w:rsidRPr="0043049E">
        <w:rPr>
          <w:lang w:val="en-US"/>
        </w:rPr>
        <w:t>[Cited 2024 Jun 21]</w:t>
      </w:r>
      <w:bookmarkEnd w:id="42"/>
      <w:r w:rsidRPr="0043049E">
        <w:rPr>
          <w:lang w:val="en-US"/>
        </w:rPr>
        <w:t xml:space="preserve">;12(2):390-398. </w:t>
      </w:r>
      <w:bookmarkStart w:id="43" w:name="_Hlk176879807"/>
      <w:r w:rsidRPr="0043049E">
        <w:rPr>
          <w:lang w:val="en-US"/>
        </w:rPr>
        <w:t xml:space="preserve">Available from: </w:t>
      </w:r>
      <w:bookmarkEnd w:id="43"/>
      <w:r w:rsidRPr="00470588">
        <w:fldChar w:fldCharType="begin"/>
      </w:r>
      <w:r w:rsidRPr="0043049E">
        <w:rPr>
          <w:lang w:val="en-US"/>
        </w:rPr>
        <w:instrText>HYPERLINK "https://apm.amegroups.org/article/view/109489/html"</w:instrText>
      </w:r>
      <w:r w:rsidRPr="00470588">
        <w:fldChar w:fldCharType="separate"/>
      </w:r>
      <w:r w:rsidRPr="0043049E">
        <w:rPr>
          <w:rStyle w:val="Hyperlink"/>
          <w:lang w:val="en-US"/>
        </w:rPr>
        <w:t>https://apm.amegroups.org/article/view/109489/html</w:t>
      </w:r>
      <w:r w:rsidRPr="00470588">
        <w:fldChar w:fldCharType="end"/>
      </w:r>
      <w:r w:rsidRPr="0043049E">
        <w:rPr>
          <w:lang w:val="en-US"/>
        </w:rPr>
        <w:t xml:space="preserve"> </w:t>
      </w:r>
    </w:p>
  </w:endnote>
  <w:endnote w:id="25">
    <w:p w14:paraId="03957071" w14:textId="77777777" w:rsidR="0094245B" w:rsidRPr="00470588" w:rsidRDefault="0094245B" w:rsidP="009B2D04">
      <w:pPr>
        <w:pStyle w:val="EndnoteText"/>
        <w:spacing w:line="480" w:lineRule="auto"/>
        <w:rPr>
          <w:sz w:val="24"/>
          <w:szCs w:val="24"/>
        </w:rPr>
      </w:pPr>
      <w:r w:rsidRPr="00470588">
        <w:rPr>
          <w:rStyle w:val="EndnoteReference"/>
          <w:sz w:val="24"/>
          <w:szCs w:val="24"/>
        </w:rPr>
        <w:endnoteRef/>
      </w:r>
      <w:r w:rsidRPr="008F5B1A">
        <w:rPr>
          <w:sz w:val="24"/>
          <w:szCs w:val="24"/>
          <w:lang w:val="es-ES"/>
        </w:rPr>
        <w:t xml:space="preserve"> Haghgou Cedeño LA. </w:t>
      </w:r>
      <w:r w:rsidRPr="00470588">
        <w:rPr>
          <w:sz w:val="24"/>
          <w:szCs w:val="24"/>
        </w:rPr>
        <w:t xml:space="preserve">La neuropatía diabética desde un enfoque fisiopatológico actualizado. Manabí (Ecuador): Universidad Laica Eloy Alfaro; 2020 [citado 14/06/2021]. </w:t>
      </w:r>
      <w:bookmarkStart w:id="44" w:name="_Hlk176897863"/>
      <w:r w:rsidRPr="00470588">
        <w:rPr>
          <w:sz w:val="24"/>
          <w:szCs w:val="24"/>
        </w:rPr>
        <w:t>Disponible en:</w:t>
      </w:r>
      <w:bookmarkEnd w:id="44"/>
      <w:r w:rsidRPr="00470588">
        <w:rPr>
          <w:sz w:val="24"/>
          <w:szCs w:val="24"/>
        </w:rPr>
        <w:t> </w:t>
      </w:r>
      <w:hyperlink r:id="rId20" w:tgtFrame="_blank" w:history="1">
        <w:r w:rsidRPr="00470588">
          <w:rPr>
            <w:rStyle w:val="Hyperlink"/>
            <w:sz w:val="24"/>
            <w:szCs w:val="24"/>
          </w:rPr>
          <w:t>https://www.researchgate.net/publication/349058750_La_neuropatia_diabetica_desde_un_enfoque_fisiopatologico_actualizado</w:t>
        </w:r>
      </w:hyperlink>
      <w:r w:rsidRPr="00470588">
        <w:rPr>
          <w:sz w:val="24"/>
          <w:szCs w:val="24"/>
        </w:rPr>
        <w:t>.</w:t>
      </w:r>
    </w:p>
  </w:endnote>
  <w:endnote w:id="26">
    <w:p w14:paraId="6ADE2713" w14:textId="278F7D6C" w:rsidR="009B2D04" w:rsidRPr="00470588" w:rsidRDefault="009B2D04" w:rsidP="009B2D04">
      <w:pPr>
        <w:pStyle w:val="EndnoteText"/>
        <w:spacing w:line="480" w:lineRule="auto"/>
      </w:pPr>
      <w:r w:rsidRPr="00470588">
        <w:rPr>
          <w:rStyle w:val="EndnoteReference"/>
          <w:sz w:val="24"/>
          <w:szCs w:val="24"/>
        </w:rPr>
        <w:endnoteRef/>
      </w:r>
      <w:r w:rsidRPr="00470588">
        <w:rPr>
          <w:sz w:val="24"/>
          <w:szCs w:val="24"/>
        </w:rPr>
        <w:t xml:space="preserve"> </w:t>
      </w:r>
      <w:r w:rsidRPr="00470588">
        <w:rPr>
          <w:color w:val="000000"/>
          <w:sz w:val="24"/>
          <w:szCs w:val="24"/>
        </w:rPr>
        <w:t xml:space="preserve">Pérez Rodríguez A, Feria Pérez </w:t>
      </w:r>
      <w:r w:rsidR="00B3261C" w:rsidRPr="00470588">
        <w:rPr>
          <w:color w:val="000000"/>
          <w:sz w:val="24"/>
          <w:szCs w:val="24"/>
        </w:rPr>
        <w:t>AC</w:t>
      </w:r>
      <w:r w:rsidRPr="00470588">
        <w:rPr>
          <w:color w:val="000000"/>
          <w:sz w:val="24"/>
          <w:szCs w:val="24"/>
        </w:rPr>
        <w:t xml:space="preserve">, Inclán Acosta </w:t>
      </w:r>
      <w:r w:rsidR="00B3261C" w:rsidRPr="00470588">
        <w:rPr>
          <w:color w:val="000000"/>
          <w:sz w:val="24"/>
          <w:szCs w:val="24"/>
        </w:rPr>
        <w:t>A</w:t>
      </w:r>
      <w:r w:rsidRPr="00470588">
        <w:rPr>
          <w:color w:val="000000"/>
          <w:sz w:val="24"/>
          <w:szCs w:val="24"/>
        </w:rPr>
        <w:t>, Delgado Echezarreta J. Some up-to-date aspects on the diabetic polyneuropathy. MEDISAN [Internet]. 2022 Ago</w:t>
      </w:r>
      <w:r w:rsidR="00B3261C" w:rsidRPr="00470588">
        <w:rPr>
          <w:color w:val="000000"/>
          <w:sz w:val="24"/>
          <w:szCs w:val="24"/>
        </w:rPr>
        <w:t xml:space="preserve"> </w:t>
      </w:r>
      <w:r w:rsidRPr="00470588">
        <w:rPr>
          <w:color w:val="000000"/>
          <w:sz w:val="24"/>
          <w:szCs w:val="24"/>
        </w:rPr>
        <w:t>[citado 10 Jul 2024];  26(4):</w:t>
      </w:r>
      <w:r w:rsidR="003E34C7" w:rsidRPr="00470588">
        <w:rPr>
          <w:color w:val="000000"/>
          <w:sz w:val="24"/>
          <w:szCs w:val="24"/>
        </w:rPr>
        <w:t xml:space="preserve"> </w:t>
      </w:r>
      <w:r w:rsidR="00820492" w:rsidRPr="00470588">
        <w:rPr>
          <w:sz w:val="24"/>
          <w:szCs w:val="24"/>
        </w:rPr>
        <w:t>e3855</w:t>
      </w:r>
      <w:r w:rsidR="003E34C7" w:rsidRPr="00470588">
        <w:t xml:space="preserve"> </w:t>
      </w:r>
      <w:r w:rsidR="003E34C7" w:rsidRPr="00470588">
        <w:rPr>
          <w:sz w:val="24"/>
          <w:szCs w:val="24"/>
        </w:rPr>
        <w:t>Disponible en:</w:t>
      </w:r>
      <w:r w:rsidR="003E34C7" w:rsidRPr="00470588">
        <w:t xml:space="preserve"> </w:t>
      </w:r>
      <w:hyperlink r:id="rId21" w:history="1">
        <w:r w:rsidR="003E34C7" w:rsidRPr="00470588">
          <w:rPr>
            <w:rStyle w:val="Hyperlink"/>
            <w:sz w:val="24"/>
            <w:szCs w:val="24"/>
          </w:rPr>
          <w:t>http://scielo.sld.cu/pdf/san/v26n4/1029-3019-san-26-04-e3855.pdf</w:t>
        </w:r>
      </w:hyperlink>
      <w:r w:rsidR="003E34C7" w:rsidRPr="00470588">
        <w:rPr>
          <w:sz w:val="24"/>
          <w:szCs w:val="24"/>
        </w:rPr>
        <w:t xml:space="preserve"> </w:t>
      </w:r>
    </w:p>
  </w:endnote>
  <w:endnote w:id="27">
    <w:p w14:paraId="319F6BB2" w14:textId="5FB9520E" w:rsidR="0039767B" w:rsidRPr="004F0E8A" w:rsidRDefault="0039767B" w:rsidP="00115838">
      <w:pPr>
        <w:pStyle w:val="EndnoteText"/>
        <w:spacing w:line="480" w:lineRule="auto"/>
        <w:rPr>
          <w:sz w:val="24"/>
          <w:szCs w:val="24"/>
          <w:lang w:val="en-US"/>
        </w:rPr>
      </w:pPr>
      <w:r w:rsidRPr="00470588">
        <w:rPr>
          <w:rStyle w:val="EndnoteReference"/>
          <w:sz w:val="24"/>
          <w:szCs w:val="24"/>
        </w:rPr>
        <w:endnoteRef/>
      </w:r>
      <w:r w:rsidRPr="004F0E8A">
        <w:rPr>
          <w:sz w:val="24"/>
          <w:szCs w:val="24"/>
          <w:lang w:val="en-US"/>
        </w:rPr>
        <w:t xml:space="preserve"> Feldman EL, Callaghan BC, Pop-Busui R, Zochodne DW, Wright DE, Bennett DL, Bril V, Russell JW, Viswanathan V. Diabetic neuropathy. Nat Rev Dis Primers</w:t>
      </w:r>
      <w:r w:rsidRPr="004F0E8A">
        <w:rPr>
          <w:lang w:val="en-US"/>
        </w:rPr>
        <w:t xml:space="preserve"> </w:t>
      </w:r>
      <w:bookmarkStart w:id="50" w:name="_Hlk177057375"/>
      <w:r w:rsidRPr="004F0E8A">
        <w:rPr>
          <w:sz w:val="24"/>
          <w:szCs w:val="24"/>
          <w:lang w:val="en-US"/>
        </w:rPr>
        <w:t xml:space="preserve">[Internet]. </w:t>
      </w:r>
      <w:bookmarkEnd w:id="50"/>
      <w:r w:rsidRPr="004F0E8A">
        <w:rPr>
          <w:sz w:val="24"/>
          <w:szCs w:val="24"/>
          <w:lang w:val="en-US"/>
        </w:rPr>
        <w:t>2019 Jun [cited 2024 Jun 11]; 5(1):41. Available from:</w:t>
      </w:r>
      <w:r w:rsidRPr="004F0E8A">
        <w:rPr>
          <w:lang w:val="en-US"/>
        </w:rPr>
        <w:t xml:space="preserve"> </w:t>
      </w:r>
      <w:hyperlink r:id="rId22" w:history="1">
        <w:r w:rsidRPr="004F0E8A">
          <w:rPr>
            <w:rStyle w:val="Hyperlink"/>
            <w:sz w:val="24"/>
            <w:szCs w:val="24"/>
            <w:lang w:val="en-US"/>
          </w:rPr>
          <w:t>https://www.nature.com/articles/s41572-019-0092-1</w:t>
        </w:r>
      </w:hyperlink>
      <w:r w:rsidRPr="004F0E8A">
        <w:rPr>
          <w:sz w:val="24"/>
          <w:szCs w:val="24"/>
          <w:lang w:val="en-US"/>
        </w:rPr>
        <w:t xml:space="preserve"> </w:t>
      </w:r>
    </w:p>
  </w:endnote>
  <w:endnote w:id="28">
    <w:p w14:paraId="16DD03DE" w14:textId="498AE6D8" w:rsidR="00115838" w:rsidRPr="0043049E" w:rsidRDefault="00115838" w:rsidP="00115838">
      <w:pPr>
        <w:rPr>
          <w:rFonts w:eastAsia="Times New Roman"/>
          <w:lang w:val="en-US"/>
        </w:rPr>
      </w:pPr>
      <w:r w:rsidRPr="00470588">
        <w:rPr>
          <w:rStyle w:val="EndnoteReference"/>
        </w:rPr>
        <w:endnoteRef/>
      </w:r>
      <w:r w:rsidRPr="004F0E8A">
        <w:rPr>
          <w:lang w:val="en-US"/>
        </w:rPr>
        <w:t xml:space="preserve"> </w:t>
      </w:r>
      <w:r w:rsidRPr="004F0E8A">
        <w:rPr>
          <w:rFonts w:eastAsia="Times New Roman"/>
          <w:lang w:val="en-US"/>
        </w:rPr>
        <w:t xml:space="preserve">Petropoulus IN, Ponirakis G, Malik RA. </w:t>
      </w:r>
      <w:r w:rsidRPr="0043049E">
        <w:rPr>
          <w:rFonts w:eastAsia="Times New Roman"/>
          <w:lang w:val="en-US"/>
        </w:rPr>
        <w:t xml:space="preserve">Diagnosing Diabetic Neuropathy: Something Old; Something New. Diabetes Metab J </w:t>
      </w:r>
      <w:bookmarkStart w:id="52" w:name="_Hlk177072798"/>
      <w:r w:rsidRPr="0043049E">
        <w:rPr>
          <w:rFonts w:eastAsia="Times New Roman"/>
          <w:lang w:val="en-US"/>
        </w:rPr>
        <w:t xml:space="preserve">[Internet]. </w:t>
      </w:r>
      <w:bookmarkEnd w:id="52"/>
      <w:r w:rsidRPr="0043049E">
        <w:rPr>
          <w:rFonts w:eastAsia="Times New Roman"/>
          <w:lang w:val="en-US"/>
        </w:rPr>
        <w:t>2018 [cited 2024 Jun 11]; 42:255-269.</w:t>
      </w:r>
      <w:r w:rsidRPr="0043049E">
        <w:rPr>
          <w:lang w:val="en-US"/>
        </w:rPr>
        <w:t xml:space="preserve"> Available from:</w:t>
      </w:r>
      <w:r w:rsidR="006339E1" w:rsidRPr="0043049E">
        <w:rPr>
          <w:lang w:val="en-US"/>
        </w:rPr>
        <w:t xml:space="preserve"> </w:t>
      </w:r>
      <w:hyperlink r:id="rId23" w:history="1">
        <w:r w:rsidR="006339E1" w:rsidRPr="0043049E">
          <w:rPr>
            <w:rStyle w:val="Hyperlink"/>
            <w:lang w:val="en-US"/>
          </w:rPr>
          <w:t>https://www.ncbi.nlm.nih.gov/pmc/articles/PMC6107364/</w:t>
        </w:r>
      </w:hyperlink>
      <w:r w:rsidR="006339E1" w:rsidRPr="0043049E">
        <w:rPr>
          <w:lang w:val="en-US"/>
        </w:rPr>
        <w:t xml:space="preserve"> </w:t>
      </w:r>
    </w:p>
  </w:endnote>
  <w:endnote w:id="29">
    <w:p w14:paraId="5DC4B414" w14:textId="0F02930F" w:rsidR="002E4FA3" w:rsidRPr="0043049E" w:rsidRDefault="0039767B" w:rsidP="0047035A">
      <w:pPr>
        <w:pStyle w:val="EndnoteText"/>
        <w:spacing w:line="480" w:lineRule="auto"/>
        <w:rPr>
          <w:sz w:val="24"/>
          <w:szCs w:val="24"/>
          <w:lang w:val="en-US"/>
        </w:rPr>
      </w:pPr>
      <w:r w:rsidRPr="00470588">
        <w:rPr>
          <w:rStyle w:val="EndnoteReference"/>
          <w:sz w:val="24"/>
          <w:szCs w:val="24"/>
        </w:rPr>
        <w:endnoteRef/>
      </w:r>
      <w:r w:rsidRPr="0043049E">
        <w:rPr>
          <w:sz w:val="24"/>
          <w:szCs w:val="24"/>
          <w:lang w:val="en-US"/>
        </w:rPr>
        <w:t xml:space="preserve"> Win MMTM, Fukai K, Nyunt HH, Linn KZ. Hand and foot exercises for diabetic peripheral neuropathy: A randomized controlled trial. Nurs Health Sci [Internet]. 2020 Jun </w:t>
      </w:r>
      <w:bookmarkStart w:id="53" w:name="_Hlk177057408"/>
      <w:r w:rsidRPr="0043049E">
        <w:rPr>
          <w:sz w:val="24"/>
          <w:szCs w:val="24"/>
          <w:lang w:val="en-US"/>
        </w:rPr>
        <w:t>[cited 2024 Jun 28]</w:t>
      </w:r>
      <w:bookmarkEnd w:id="53"/>
      <w:r w:rsidRPr="0043049E">
        <w:rPr>
          <w:sz w:val="24"/>
          <w:szCs w:val="24"/>
          <w:lang w:val="en-US"/>
        </w:rPr>
        <w:t xml:space="preserve">; 22(2):416-426. </w:t>
      </w:r>
      <w:bookmarkStart w:id="54" w:name="_Hlk177072358"/>
      <w:r w:rsidRPr="0043049E">
        <w:rPr>
          <w:sz w:val="24"/>
          <w:szCs w:val="24"/>
          <w:lang w:val="en-US"/>
        </w:rPr>
        <w:t xml:space="preserve">Available from: </w:t>
      </w:r>
      <w:bookmarkEnd w:id="54"/>
      <w:r w:rsidRPr="00470588">
        <w:fldChar w:fldCharType="begin"/>
      </w:r>
      <w:r w:rsidRPr="0043049E">
        <w:rPr>
          <w:sz w:val="24"/>
          <w:szCs w:val="24"/>
          <w:lang w:val="en-US"/>
        </w:rPr>
        <w:instrText>HYPERLINK "https://onlinelibrary.wiley.com/doi/10.1111/nhs.12676"</w:instrText>
      </w:r>
      <w:r w:rsidRPr="00470588">
        <w:fldChar w:fldCharType="separate"/>
      </w:r>
      <w:r w:rsidRPr="0043049E">
        <w:rPr>
          <w:rStyle w:val="Hyperlink"/>
          <w:sz w:val="24"/>
          <w:szCs w:val="24"/>
          <w:lang w:val="en-US"/>
        </w:rPr>
        <w:t>https://onlinelibrary.wiley.com/doi/10.1111/nhs.12676</w:t>
      </w:r>
      <w:r w:rsidRPr="00470588">
        <w:rPr>
          <w:rStyle w:val="Hyperlink"/>
          <w:sz w:val="24"/>
          <w:szCs w:val="24"/>
        </w:rPr>
        <w:fldChar w:fldCharType="end"/>
      </w:r>
      <w:r w:rsidRPr="0043049E">
        <w:rPr>
          <w:sz w:val="24"/>
          <w:szCs w:val="24"/>
          <w:lang w:val="en-US"/>
        </w:rPr>
        <w:t xml:space="preserve"> </w:t>
      </w:r>
    </w:p>
  </w:endnote>
  <w:endnote w:id="30">
    <w:p w14:paraId="1644365C" w14:textId="42256EA3" w:rsidR="0047035A" w:rsidRPr="00947957" w:rsidRDefault="0047035A" w:rsidP="00947957">
      <w:pPr>
        <w:pStyle w:val="EndnoteText"/>
        <w:spacing w:line="480" w:lineRule="auto"/>
        <w:rPr>
          <w:sz w:val="24"/>
          <w:szCs w:val="24"/>
          <w:lang w:val="en-US"/>
        </w:rPr>
      </w:pPr>
      <w:r w:rsidRPr="00470588">
        <w:rPr>
          <w:rStyle w:val="EndnoteReference"/>
          <w:sz w:val="24"/>
          <w:szCs w:val="24"/>
        </w:rPr>
        <w:endnoteRef/>
      </w:r>
      <w:r w:rsidRPr="0043049E">
        <w:rPr>
          <w:sz w:val="24"/>
          <w:szCs w:val="24"/>
          <w:lang w:val="en-US"/>
        </w:rPr>
        <w:t xml:space="preserve"> Roth TE. Early identification of peripheral neuropathy using a monofilament [</w:t>
      </w:r>
      <w:r w:rsidRPr="00947957">
        <w:rPr>
          <w:sz w:val="24"/>
          <w:szCs w:val="24"/>
          <w:lang w:val="en-US"/>
        </w:rPr>
        <w:t xml:space="preserve">Doctor of Nursing Thesis] The University of Arizona; 2022 </w:t>
      </w:r>
    </w:p>
  </w:endnote>
  <w:endnote w:id="31">
    <w:p w14:paraId="72BDA29C" w14:textId="432D61BF" w:rsidR="00947957" w:rsidRPr="006F06EB" w:rsidRDefault="00947957" w:rsidP="006F06EB">
      <w:pPr>
        <w:pStyle w:val="EndnoteText"/>
        <w:spacing w:line="480" w:lineRule="auto"/>
        <w:rPr>
          <w:sz w:val="24"/>
          <w:szCs w:val="24"/>
          <w:lang w:val="es-CU"/>
        </w:rPr>
      </w:pPr>
      <w:r w:rsidRPr="00947957">
        <w:rPr>
          <w:rStyle w:val="EndnoteReference"/>
          <w:sz w:val="24"/>
          <w:szCs w:val="24"/>
        </w:rPr>
        <w:endnoteRef/>
      </w:r>
      <w:r w:rsidRPr="00947957">
        <w:rPr>
          <w:sz w:val="24"/>
          <w:szCs w:val="24"/>
          <w:lang w:val="es-CU"/>
        </w:rPr>
        <w:t xml:space="preserve"> </w:t>
      </w:r>
      <w:r w:rsidRPr="00947957">
        <w:rPr>
          <w:sz w:val="24"/>
          <w:szCs w:val="24"/>
        </w:rPr>
        <w:t xml:space="preserve">Ruiz </w:t>
      </w:r>
      <w:r>
        <w:rPr>
          <w:sz w:val="24"/>
          <w:szCs w:val="24"/>
        </w:rPr>
        <w:t>D</w:t>
      </w:r>
      <w:r w:rsidRPr="00947957">
        <w:rPr>
          <w:sz w:val="24"/>
          <w:szCs w:val="24"/>
        </w:rPr>
        <w:t>, Romo</w:t>
      </w:r>
      <w:r>
        <w:rPr>
          <w:sz w:val="24"/>
          <w:szCs w:val="24"/>
        </w:rPr>
        <w:t xml:space="preserve"> ME</w:t>
      </w:r>
      <w:r w:rsidRPr="00947957">
        <w:rPr>
          <w:sz w:val="24"/>
          <w:szCs w:val="24"/>
        </w:rPr>
        <w:t xml:space="preserve">, Pereira </w:t>
      </w:r>
      <w:r>
        <w:rPr>
          <w:sz w:val="24"/>
          <w:szCs w:val="24"/>
        </w:rPr>
        <w:t xml:space="preserve">H. </w:t>
      </w:r>
      <w:r w:rsidRPr="00947957">
        <w:rPr>
          <w:sz w:val="24"/>
          <w:szCs w:val="24"/>
        </w:rPr>
        <w:t>Prueba de Semmes Weinstein en radiculopatía</w:t>
      </w:r>
      <w:r>
        <w:rPr>
          <w:sz w:val="24"/>
          <w:szCs w:val="24"/>
        </w:rPr>
        <w:t xml:space="preserve">. </w:t>
      </w:r>
      <w:r w:rsidRPr="006F06EB">
        <w:rPr>
          <w:sz w:val="24"/>
          <w:szCs w:val="24"/>
          <w:lang w:val="es-CU"/>
        </w:rPr>
        <w:t>Revista Bionatura [</w:t>
      </w:r>
      <w:r w:rsidR="006F06EB" w:rsidRPr="006F06EB">
        <w:rPr>
          <w:sz w:val="24"/>
          <w:szCs w:val="24"/>
          <w:lang w:val="es-CU"/>
        </w:rPr>
        <w:t>Internet</w:t>
      </w:r>
      <w:r w:rsidRPr="006F06EB">
        <w:rPr>
          <w:sz w:val="24"/>
          <w:szCs w:val="24"/>
          <w:lang w:val="es-CU"/>
        </w:rPr>
        <w:t>].</w:t>
      </w:r>
      <w:r w:rsidR="006F06EB" w:rsidRPr="006F06EB">
        <w:rPr>
          <w:sz w:val="24"/>
          <w:szCs w:val="24"/>
          <w:lang w:val="es-CU"/>
        </w:rPr>
        <w:t xml:space="preserve"> 2018</w:t>
      </w:r>
      <w:r w:rsidRPr="006F06EB">
        <w:rPr>
          <w:sz w:val="24"/>
          <w:szCs w:val="24"/>
          <w:lang w:val="es-CU"/>
        </w:rPr>
        <w:t xml:space="preserve"> </w:t>
      </w:r>
      <w:r w:rsidR="006F06EB" w:rsidRPr="006F06EB">
        <w:rPr>
          <w:sz w:val="24"/>
          <w:szCs w:val="24"/>
          <w:lang w:val="es-CU"/>
        </w:rPr>
        <w:t xml:space="preserve">[citado 12 Jul 2024];3 (2):1-2. Disponible en: </w:t>
      </w:r>
      <w:hyperlink r:id="rId24" w:history="1">
        <w:r w:rsidR="006F06EB" w:rsidRPr="006F06EB">
          <w:rPr>
            <w:rStyle w:val="Hyperlink"/>
            <w:sz w:val="24"/>
            <w:szCs w:val="24"/>
            <w:lang w:val="es-CU"/>
          </w:rPr>
          <w:t>https://www.revistabionatura.com/files/2018.03.02.9.pdf</w:t>
        </w:r>
      </w:hyperlink>
      <w:r w:rsidR="006F06EB" w:rsidRPr="006F06EB">
        <w:rPr>
          <w:sz w:val="24"/>
          <w:szCs w:val="24"/>
          <w:lang w:val="es-CU"/>
        </w:rPr>
        <w:t xml:space="preserve"> </w:t>
      </w:r>
    </w:p>
  </w:endnote>
  <w:endnote w:id="32">
    <w:p w14:paraId="6DEDE834" w14:textId="2BF139CA" w:rsidR="006F06EB" w:rsidRPr="0086165E" w:rsidRDefault="006F06EB" w:rsidP="006F06EB">
      <w:pPr>
        <w:pStyle w:val="EndnoteText"/>
        <w:spacing w:line="480" w:lineRule="auto"/>
        <w:rPr>
          <w:sz w:val="24"/>
          <w:szCs w:val="24"/>
          <w:lang w:val="en-US"/>
        </w:rPr>
      </w:pPr>
      <w:r w:rsidRPr="006F06EB">
        <w:rPr>
          <w:rStyle w:val="EndnoteReference"/>
          <w:sz w:val="24"/>
          <w:szCs w:val="24"/>
        </w:rPr>
        <w:endnoteRef/>
      </w:r>
      <w:r w:rsidRPr="006F06EB">
        <w:rPr>
          <w:sz w:val="24"/>
          <w:szCs w:val="24"/>
          <w:lang w:val="es-CU"/>
        </w:rPr>
        <w:t xml:space="preserve"> Ares AM, Cendán M, Garrote A, González C, Raña CD, Rojo V, </w:t>
      </w:r>
      <w:r>
        <w:rPr>
          <w:sz w:val="24"/>
          <w:szCs w:val="24"/>
          <w:lang w:val="es-CU"/>
        </w:rPr>
        <w:t xml:space="preserve">et al. </w:t>
      </w:r>
      <w:r w:rsidRPr="006F06EB">
        <w:rPr>
          <w:sz w:val="24"/>
          <w:szCs w:val="24"/>
          <w:lang w:val="es-CU"/>
        </w:rPr>
        <w:t xml:space="preserve"> Procedimiento en el manejo del monofilamento para la</w:t>
      </w:r>
      <w:r>
        <w:rPr>
          <w:sz w:val="24"/>
          <w:szCs w:val="24"/>
          <w:lang w:val="es-CU"/>
        </w:rPr>
        <w:t xml:space="preserve"> </w:t>
      </w:r>
      <w:r w:rsidRPr="006F06EB">
        <w:rPr>
          <w:sz w:val="24"/>
          <w:szCs w:val="24"/>
          <w:lang w:val="es-CU"/>
        </w:rPr>
        <w:t>determinación de neuropatía diabética. 2021.</w:t>
      </w:r>
      <w:r w:rsidRPr="006F06EB">
        <w:t xml:space="preserve"> </w:t>
      </w:r>
      <w:r w:rsidRPr="006F06EB">
        <w:rPr>
          <w:sz w:val="24"/>
          <w:szCs w:val="24"/>
        </w:rPr>
        <w:t>Santiago de Compostela</w:t>
      </w:r>
      <w:r>
        <w:t>:</w:t>
      </w:r>
      <w:r w:rsidRPr="006F06EB">
        <w:rPr>
          <w:sz w:val="24"/>
          <w:szCs w:val="24"/>
        </w:rPr>
        <w:t xml:space="preserve"> Xunta de Galicia. Consellería de Sanidad. Servicio Gallego de Salud. </w:t>
      </w:r>
      <w:r w:rsidRPr="0086165E">
        <w:rPr>
          <w:sz w:val="24"/>
          <w:szCs w:val="24"/>
          <w:lang w:val="en-US"/>
        </w:rPr>
        <w:t>Dirección General de Asistencia Sanitaria; 2021.</w:t>
      </w:r>
      <w:r w:rsidRPr="0086165E">
        <w:rPr>
          <w:lang w:val="en-US"/>
        </w:rPr>
        <w:t xml:space="preserve"> </w:t>
      </w:r>
    </w:p>
  </w:endnote>
  <w:endnote w:id="33">
    <w:p w14:paraId="1AC3B2CA" w14:textId="77777777" w:rsidR="001A33F5" w:rsidRPr="0043049E" w:rsidRDefault="001A33F5" w:rsidP="006F06EB">
      <w:pPr>
        <w:pStyle w:val="EndnoteText"/>
        <w:spacing w:line="480" w:lineRule="auto"/>
        <w:rPr>
          <w:sz w:val="24"/>
          <w:szCs w:val="24"/>
          <w:lang w:val="en-US"/>
        </w:rPr>
      </w:pPr>
      <w:r w:rsidRPr="006F06EB">
        <w:rPr>
          <w:rStyle w:val="EndnoteReference"/>
          <w:sz w:val="24"/>
          <w:szCs w:val="24"/>
        </w:rPr>
        <w:endnoteRef/>
      </w:r>
      <w:r w:rsidRPr="006F06EB">
        <w:rPr>
          <w:sz w:val="24"/>
          <w:szCs w:val="24"/>
          <w:lang w:val="en-US"/>
        </w:rPr>
        <w:t xml:space="preserve"> Martin CL, Albers JW, Pop-Busui R</w:t>
      </w:r>
      <w:r w:rsidRPr="00947957">
        <w:rPr>
          <w:sz w:val="24"/>
          <w:szCs w:val="24"/>
          <w:lang w:val="en-US"/>
        </w:rPr>
        <w:t>; DCCT/EDIC</w:t>
      </w:r>
      <w:r w:rsidRPr="0043049E">
        <w:rPr>
          <w:sz w:val="24"/>
          <w:szCs w:val="24"/>
          <w:lang w:val="en-US"/>
        </w:rPr>
        <w:t xml:space="preserve"> Research Group. Neuropathy and related findings in the Diabetes Control and Complications Trial/Epidemiology of Diabetes Interventions and Complications study. Diabetes Care [Internet].  2014 </w:t>
      </w:r>
      <w:bookmarkStart w:id="57" w:name="_Hlk176888981"/>
      <w:r w:rsidRPr="0043049E">
        <w:rPr>
          <w:sz w:val="24"/>
          <w:szCs w:val="24"/>
          <w:lang w:val="en-US"/>
        </w:rPr>
        <w:t>[Cited 2024 Jul 02]</w:t>
      </w:r>
      <w:bookmarkEnd w:id="57"/>
      <w:r w:rsidRPr="0043049E">
        <w:rPr>
          <w:sz w:val="24"/>
          <w:szCs w:val="24"/>
          <w:lang w:val="en-US"/>
        </w:rPr>
        <w:t xml:space="preserve">; 37:31–38. </w:t>
      </w:r>
      <w:bookmarkStart w:id="58" w:name="_Hlk176888121"/>
      <w:r w:rsidRPr="0043049E">
        <w:rPr>
          <w:sz w:val="24"/>
          <w:szCs w:val="24"/>
          <w:lang w:val="en-US"/>
        </w:rPr>
        <w:t>Available from:</w:t>
      </w:r>
      <w:bookmarkEnd w:id="58"/>
      <w:r w:rsidRPr="0043049E">
        <w:rPr>
          <w:lang w:val="en-US"/>
        </w:rPr>
        <w:t xml:space="preserve"> </w:t>
      </w:r>
      <w:hyperlink r:id="rId25" w:history="1">
        <w:r w:rsidRPr="0043049E">
          <w:rPr>
            <w:rStyle w:val="Hyperlink"/>
            <w:sz w:val="24"/>
            <w:szCs w:val="24"/>
            <w:lang w:val="en-US"/>
          </w:rPr>
          <w:t>https://www.ncbi.nlm.nih.gov/pmc/articles/PMC3868000/</w:t>
        </w:r>
      </w:hyperlink>
      <w:r w:rsidRPr="0043049E">
        <w:rPr>
          <w:sz w:val="24"/>
          <w:szCs w:val="24"/>
          <w:lang w:val="en-US"/>
        </w:rPr>
        <w:t xml:space="preserve"> </w:t>
      </w:r>
    </w:p>
  </w:endnote>
  <w:endnote w:id="34">
    <w:p w14:paraId="60AEB2F7" w14:textId="77777777" w:rsidR="001A33F5" w:rsidRPr="0043049E" w:rsidRDefault="001A33F5" w:rsidP="001A33F5">
      <w:pPr>
        <w:pStyle w:val="EndnoteText"/>
        <w:spacing w:line="480" w:lineRule="auto"/>
        <w:rPr>
          <w:sz w:val="24"/>
          <w:szCs w:val="24"/>
          <w:lang w:val="en-US"/>
        </w:rPr>
      </w:pPr>
      <w:r w:rsidRPr="00470588">
        <w:rPr>
          <w:rStyle w:val="EndnoteReference"/>
          <w:sz w:val="24"/>
          <w:szCs w:val="24"/>
        </w:rPr>
        <w:endnoteRef/>
      </w:r>
      <w:r w:rsidRPr="0043049E">
        <w:rPr>
          <w:sz w:val="24"/>
          <w:szCs w:val="24"/>
          <w:lang w:val="en-US"/>
        </w:rPr>
        <w:t xml:space="preserve"> </w:t>
      </w:r>
      <w:r w:rsidRPr="0043049E">
        <w:rPr>
          <w:sz w:val="24"/>
          <w:szCs w:val="24"/>
          <w:shd w:val="clear" w:color="auto" w:fill="FFFFFF"/>
          <w:lang w:val="en-US"/>
        </w:rPr>
        <w:t xml:space="preserve">Braffett BH, Gubitosi-Klug RA, Albers JW, Feldman EL, Martin CL, White NH, Orchard TJ, et al; DCCT/EDIC Research Group. Risk factors for diabetic peripheral neuropathy and cardiovascular autonomic neuropathy in the Diabetes Control and Complications Trial/Epidemiology of Diabetes Interventions and Complications (DCCT/EDIC) study. Diabetes [Internet]. 2020 </w:t>
      </w:r>
      <w:bookmarkStart w:id="59" w:name="_Hlk176889091"/>
      <w:r w:rsidRPr="0043049E">
        <w:rPr>
          <w:sz w:val="24"/>
          <w:szCs w:val="24"/>
          <w:shd w:val="clear" w:color="auto" w:fill="FFFFFF"/>
          <w:lang w:val="en-US"/>
        </w:rPr>
        <w:t>[Cited 2024 Jul 02]</w:t>
      </w:r>
      <w:bookmarkEnd w:id="59"/>
      <w:r w:rsidRPr="0043049E">
        <w:rPr>
          <w:sz w:val="24"/>
          <w:szCs w:val="24"/>
          <w:shd w:val="clear" w:color="auto" w:fill="FFFFFF"/>
          <w:lang w:val="en-US"/>
        </w:rPr>
        <w:t>; 69:1000–1010.</w:t>
      </w:r>
      <w:r w:rsidRPr="0043049E">
        <w:rPr>
          <w:sz w:val="24"/>
          <w:szCs w:val="24"/>
          <w:lang w:val="en-US"/>
        </w:rPr>
        <w:t xml:space="preserve"> Available from:</w:t>
      </w:r>
      <w:r w:rsidRPr="0043049E">
        <w:rPr>
          <w:lang w:val="en-US"/>
        </w:rPr>
        <w:t xml:space="preserve"> </w:t>
      </w:r>
      <w:hyperlink r:id="rId26" w:history="1">
        <w:r w:rsidRPr="0043049E">
          <w:rPr>
            <w:rStyle w:val="Hyperlink"/>
            <w:sz w:val="24"/>
            <w:szCs w:val="24"/>
            <w:lang w:val="en-US"/>
          </w:rPr>
          <w:t>https://diabetesjournals.org/diabetes/article/69/5/1000/39585/Risk-Factors-for-Diabetic-Peripheral-Neuropathy</w:t>
        </w:r>
      </w:hyperlink>
      <w:r w:rsidRPr="0043049E">
        <w:rPr>
          <w:sz w:val="24"/>
          <w:szCs w:val="24"/>
          <w:lang w:val="en-US"/>
        </w:rPr>
        <w:t xml:space="preserve"> </w:t>
      </w:r>
    </w:p>
  </w:endnote>
  <w:endnote w:id="35">
    <w:p w14:paraId="2914A7CA" w14:textId="77777777" w:rsidR="001A33F5" w:rsidRPr="0043049E" w:rsidRDefault="001A33F5" w:rsidP="001A33F5">
      <w:pPr>
        <w:pStyle w:val="EndnoteText"/>
        <w:spacing w:line="480" w:lineRule="auto"/>
        <w:rPr>
          <w:sz w:val="24"/>
          <w:szCs w:val="24"/>
          <w:lang w:val="en-US"/>
        </w:rPr>
      </w:pPr>
      <w:r w:rsidRPr="00470588">
        <w:rPr>
          <w:rStyle w:val="EndnoteReference"/>
          <w:sz w:val="24"/>
          <w:szCs w:val="24"/>
        </w:rPr>
        <w:endnoteRef/>
      </w:r>
      <w:r w:rsidRPr="0043049E">
        <w:rPr>
          <w:sz w:val="24"/>
          <w:szCs w:val="24"/>
          <w:lang w:val="en-US"/>
        </w:rPr>
        <w:t xml:space="preserve"> Tesfaye S, Stevens LK, Stephenson JM, Fuller JH, Plater M, Ionescu-Tirgoviste C, et al. Prevalence of diabetic peripheral neuropathy and its relation to glycaemic control and potential risk factors: the EURODIAB IDDM complications study. Diabetologia [Internet]. 1996 </w:t>
      </w:r>
      <w:bookmarkStart w:id="60" w:name="_Hlk176889263"/>
      <w:r w:rsidRPr="0043049E">
        <w:rPr>
          <w:sz w:val="24"/>
          <w:szCs w:val="24"/>
          <w:lang w:val="en-US"/>
        </w:rPr>
        <w:t>[Cited 2024 Jul 09]</w:t>
      </w:r>
      <w:bookmarkEnd w:id="60"/>
      <w:r w:rsidRPr="0043049E">
        <w:rPr>
          <w:sz w:val="24"/>
          <w:szCs w:val="24"/>
          <w:lang w:val="en-US"/>
        </w:rPr>
        <w:t xml:space="preserve">; 39: 1377–1384. </w:t>
      </w:r>
      <w:bookmarkStart w:id="61" w:name="_Hlk176888173"/>
      <w:r w:rsidRPr="0043049E">
        <w:rPr>
          <w:sz w:val="24"/>
          <w:szCs w:val="24"/>
          <w:lang w:val="en-US"/>
        </w:rPr>
        <w:t>Available from:</w:t>
      </w:r>
      <w:bookmarkEnd w:id="61"/>
      <w:r w:rsidRPr="0043049E">
        <w:rPr>
          <w:lang w:val="en-US"/>
        </w:rPr>
        <w:t xml:space="preserve"> </w:t>
      </w:r>
      <w:hyperlink r:id="rId27" w:history="1">
        <w:r w:rsidRPr="0043049E">
          <w:rPr>
            <w:rStyle w:val="Hyperlink"/>
            <w:sz w:val="24"/>
            <w:szCs w:val="24"/>
            <w:lang w:val="en-US"/>
          </w:rPr>
          <w:t>https://pubmed.ncbi.nlm.nih.gov/8933008/</w:t>
        </w:r>
      </w:hyperlink>
      <w:r w:rsidRPr="0043049E">
        <w:rPr>
          <w:sz w:val="24"/>
          <w:szCs w:val="24"/>
          <w:lang w:val="en-US"/>
        </w:rPr>
        <w:t xml:space="preserve"> </w:t>
      </w:r>
    </w:p>
  </w:endnote>
  <w:endnote w:id="36">
    <w:p w14:paraId="1875C61B" w14:textId="77777777" w:rsidR="001A33F5" w:rsidRPr="0043049E" w:rsidRDefault="001A33F5" w:rsidP="001A33F5">
      <w:pPr>
        <w:pStyle w:val="EndnoteText"/>
        <w:spacing w:line="480" w:lineRule="auto"/>
        <w:rPr>
          <w:sz w:val="24"/>
          <w:szCs w:val="24"/>
          <w:lang w:val="en-US"/>
        </w:rPr>
      </w:pPr>
      <w:r w:rsidRPr="00470588">
        <w:rPr>
          <w:rStyle w:val="EndnoteReference"/>
          <w:sz w:val="24"/>
          <w:szCs w:val="24"/>
        </w:rPr>
        <w:endnoteRef/>
      </w:r>
      <w:r w:rsidRPr="0043049E">
        <w:rPr>
          <w:sz w:val="24"/>
          <w:szCs w:val="24"/>
          <w:lang w:val="en-US"/>
        </w:rPr>
        <w:t xml:space="preserve"> Mizokami-Stout KR, Li Z, Foster NC, Shah V, Aleppo G, McGill JB, et al; T1D Exchange Clinic Network. The contemporary prevalence of diabetic neuropathy in type 1 diabetes: findings from the T1D Exchange. Diabetes Care [Internet]. 2020 </w:t>
      </w:r>
      <w:bookmarkStart w:id="62" w:name="_Hlk176889755"/>
      <w:r w:rsidRPr="0043049E">
        <w:rPr>
          <w:sz w:val="24"/>
          <w:szCs w:val="24"/>
          <w:lang w:val="en-US"/>
        </w:rPr>
        <w:t>[Cited 2024 Jul 09]</w:t>
      </w:r>
      <w:bookmarkEnd w:id="62"/>
      <w:r w:rsidRPr="0043049E">
        <w:rPr>
          <w:sz w:val="24"/>
          <w:szCs w:val="24"/>
          <w:lang w:val="en-US"/>
        </w:rPr>
        <w:t>; 43:806–812. Available from:</w:t>
      </w:r>
      <w:r w:rsidRPr="0043049E">
        <w:rPr>
          <w:lang w:val="en-US"/>
        </w:rPr>
        <w:t xml:space="preserve"> </w:t>
      </w:r>
      <w:hyperlink r:id="rId28" w:history="1">
        <w:r w:rsidRPr="0043049E">
          <w:rPr>
            <w:rStyle w:val="Hyperlink"/>
            <w:sz w:val="24"/>
            <w:szCs w:val="24"/>
            <w:lang w:val="en-US"/>
          </w:rPr>
          <w:t>https://www.ncbi.nlm.nih.gov/pmc/articles/PMC7085805/</w:t>
        </w:r>
      </w:hyperlink>
      <w:r w:rsidRPr="0043049E">
        <w:rPr>
          <w:sz w:val="24"/>
          <w:szCs w:val="24"/>
          <w:lang w:val="en-US"/>
        </w:rPr>
        <w:t xml:space="preserve"> </w:t>
      </w:r>
    </w:p>
  </w:endnote>
  <w:endnote w:id="37">
    <w:p w14:paraId="793DA57D" w14:textId="77777777" w:rsidR="001A33F5" w:rsidRPr="0043049E" w:rsidRDefault="001A33F5" w:rsidP="001A33F5">
      <w:pPr>
        <w:pStyle w:val="EndnoteText"/>
        <w:spacing w:line="480" w:lineRule="auto"/>
        <w:rPr>
          <w:sz w:val="24"/>
          <w:szCs w:val="24"/>
          <w:lang w:val="en-US"/>
        </w:rPr>
      </w:pPr>
      <w:r w:rsidRPr="00470588">
        <w:rPr>
          <w:rStyle w:val="EndnoteReference"/>
          <w:sz w:val="24"/>
          <w:szCs w:val="24"/>
        </w:rPr>
        <w:endnoteRef/>
      </w:r>
      <w:r w:rsidRPr="0043049E">
        <w:rPr>
          <w:sz w:val="24"/>
          <w:szCs w:val="24"/>
          <w:lang w:val="en-US"/>
        </w:rPr>
        <w:t xml:space="preserve"> Jeyam A, McGurnaghan SJ, Blackbourn LAK, McKnight JM, Green F, Collier A, et al; SDRNT1BIO Investigators. Diabetic neuropathy is a substantial burden in people with type 1 diabetes and is strongly associated with socioeconomic disadvantage: a population-representative study from Scotland. Diabetes Care </w:t>
      </w:r>
      <w:bookmarkStart w:id="63" w:name="_Hlk176890005"/>
      <w:r w:rsidRPr="0043049E">
        <w:rPr>
          <w:sz w:val="24"/>
          <w:szCs w:val="24"/>
          <w:lang w:val="en-US"/>
        </w:rPr>
        <w:t xml:space="preserve">[Internet]. </w:t>
      </w:r>
      <w:bookmarkEnd w:id="63"/>
      <w:r w:rsidRPr="0043049E">
        <w:rPr>
          <w:sz w:val="24"/>
          <w:szCs w:val="24"/>
          <w:lang w:val="en-US"/>
        </w:rPr>
        <w:t>2020 [Cited 2024 Jul 09]; 43:734–742 Available from:</w:t>
      </w:r>
      <w:r w:rsidRPr="0043049E">
        <w:rPr>
          <w:lang w:val="en-US"/>
        </w:rPr>
        <w:t xml:space="preserve"> </w:t>
      </w:r>
      <w:hyperlink r:id="rId29" w:history="1">
        <w:r w:rsidRPr="0043049E">
          <w:rPr>
            <w:rStyle w:val="Hyperlink"/>
            <w:sz w:val="24"/>
            <w:szCs w:val="24"/>
            <w:lang w:val="en-US"/>
          </w:rPr>
          <w:t>https://diabetesjournals.org/care/article/43/4/734/35732/Diabetic-Neuropathy-Is-a-Substantial-Burden-in</w:t>
        </w:r>
      </w:hyperlink>
      <w:r w:rsidRPr="0043049E">
        <w:rPr>
          <w:sz w:val="24"/>
          <w:szCs w:val="24"/>
          <w:lang w:val="en-US"/>
        </w:rPr>
        <w:t xml:space="preserve"> </w:t>
      </w:r>
    </w:p>
  </w:endnote>
  <w:endnote w:id="38">
    <w:p w14:paraId="4D02A8A4" w14:textId="77777777" w:rsidR="001A33F5" w:rsidRPr="0043049E" w:rsidRDefault="001A33F5" w:rsidP="001A33F5">
      <w:pPr>
        <w:pStyle w:val="EndnoteText"/>
        <w:spacing w:line="480" w:lineRule="auto"/>
        <w:rPr>
          <w:sz w:val="24"/>
          <w:szCs w:val="24"/>
          <w:lang w:val="en-US"/>
        </w:rPr>
      </w:pPr>
      <w:r w:rsidRPr="00470588">
        <w:rPr>
          <w:rStyle w:val="EndnoteReference"/>
          <w:sz w:val="24"/>
          <w:szCs w:val="24"/>
        </w:rPr>
        <w:endnoteRef/>
      </w:r>
      <w:r w:rsidRPr="0043049E">
        <w:rPr>
          <w:sz w:val="24"/>
          <w:szCs w:val="24"/>
          <w:lang w:val="en-US"/>
        </w:rPr>
        <w:t xml:space="preserve"> </w:t>
      </w:r>
      <w:r w:rsidRPr="0043049E">
        <w:rPr>
          <w:sz w:val="24"/>
          <w:szCs w:val="24"/>
          <w:shd w:val="clear" w:color="auto" w:fill="FFFFFF"/>
          <w:lang w:val="en-US"/>
        </w:rPr>
        <w:t xml:space="preserve">Andersen ST, Witte DR, Dalsgaard EM, Andersen H, Nawroth P, Fleming T, et al. Risk factors for incident diabetic polyneuropathy in a cohort with screen-detected type 2 diabetes followed for 13 years: ADDITION-Denmark. Diabetes Care </w:t>
      </w:r>
      <w:bookmarkStart w:id="64" w:name="_Hlk176890164"/>
      <w:r w:rsidRPr="0043049E">
        <w:rPr>
          <w:sz w:val="24"/>
          <w:szCs w:val="24"/>
          <w:shd w:val="clear" w:color="auto" w:fill="FFFFFF"/>
          <w:lang w:val="en-US"/>
        </w:rPr>
        <w:t xml:space="preserve">[Internet]. </w:t>
      </w:r>
      <w:bookmarkEnd w:id="64"/>
      <w:r w:rsidRPr="0043049E">
        <w:rPr>
          <w:sz w:val="24"/>
          <w:szCs w:val="24"/>
          <w:shd w:val="clear" w:color="auto" w:fill="FFFFFF"/>
          <w:lang w:val="en-US"/>
        </w:rPr>
        <w:t xml:space="preserve">2018 </w:t>
      </w:r>
      <w:bookmarkStart w:id="65" w:name="_Hlk176890184"/>
      <w:r w:rsidRPr="0043049E">
        <w:rPr>
          <w:sz w:val="24"/>
          <w:szCs w:val="24"/>
          <w:shd w:val="clear" w:color="auto" w:fill="FFFFFF"/>
          <w:lang w:val="en-US"/>
        </w:rPr>
        <w:t>[Cited 2024 Jul 02]</w:t>
      </w:r>
      <w:bookmarkEnd w:id="65"/>
      <w:r w:rsidRPr="0043049E">
        <w:rPr>
          <w:sz w:val="24"/>
          <w:szCs w:val="24"/>
          <w:shd w:val="clear" w:color="auto" w:fill="FFFFFF"/>
          <w:lang w:val="en-US"/>
        </w:rPr>
        <w:t>; 41:1068–1075 </w:t>
      </w:r>
      <w:bookmarkStart w:id="66" w:name="_Hlk176888656"/>
      <w:r w:rsidRPr="0043049E">
        <w:rPr>
          <w:sz w:val="24"/>
          <w:szCs w:val="24"/>
          <w:lang w:val="en-US"/>
        </w:rPr>
        <w:t xml:space="preserve">Available from: </w:t>
      </w:r>
      <w:bookmarkEnd w:id="66"/>
      <w:r w:rsidRPr="00470588">
        <w:rPr>
          <w:sz w:val="24"/>
          <w:szCs w:val="24"/>
        </w:rPr>
        <w:fldChar w:fldCharType="begin"/>
      </w:r>
      <w:r w:rsidRPr="0043049E">
        <w:rPr>
          <w:sz w:val="24"/>
          <w:szCs w:val="24"/>
          <w:lang w:val="en-US"/>
        </w:rPr>
        <w:instrText>HYPERLINK "https://diabetesjournals.org/care/article/41/5/1068/36552/Risk-Factors-for-Incident-Diabetic-Polyneuropathy"</w:instrText>
      </w:r>
      <w:r w:rsidRPr="00470588">
        <w:rPr>
          <w:sz w:val="24"/>
          <w:szCs w:val="24"/>
        </w:rPr>
      </w:r>
      <w:r w:rsidRPr="00470588">
        <w:rPr>
          <w:sz w:val="24"/>
          <w:szCs w:val="24"/>
        </w:rPr>
        <w:fldChar w:fldCharType="separate"/>
      </w:r>
      <w:r w:rsidRPr="0043049E">
        <w:rPr>
          <w:rStyle w:val="Hyperlink"/>
          <w:sz w:val="24"/>
          <w:szCs w:val="24"/>
          <w:lang w:val="en-US"/>
        </w:rPr>
        <w:t>https://diabetesjournals.org/care/article/41/5/1068/36552/Risk-Factors-for-Incident-Diabetic-Polyneuropathy</w:t>
      </w:r>
      <w:r w:rsidRPr="00470588">
        <w:rPr>
          <w:sz w:val="24"/>
          <w:szCs w:val="24"/>
        </w:rPr>
        <w:fldChar w:fldCharType="end"/>
      </w:r>
      <w:r w:rsidRPr="0043049E">
        <w:rPr>
          <w:sz w:val="24"/>
          <w:szCs w:val="24"/>
          <w:lang w:val="en-US"/>
        </w:rPr>
        <w:t xml:space="preserve"> </w:t>
      </w:r>
    </w:p>
  </w:endnote>
  <w:endnote w:id="39">
    <w:p w14:paraId="7A0C7BB5" w14:textId="77777777" w:rsidR="001A33F5" w:rsidRPr="004F0E8A" w:rsidRDefault="001A33F5" w:rsidP="001A33F5">
      <w:pPr>
        <w:pStyle w:val="EndnoteText"/>
        <w:spacing w:line="480" w:lineRule="auto"/>
        <w:rPr>
          <w:sz w:val="24"/>
          <w:szCs w:val="24"/>
          <w:lang w:val="en-US"/>
        </w:rPr>
      </w:pPr>
      <w:r w:rsidRPr="00470588">
        <w:rPr>
          <w:rStyle w:val="EndnoteReference"/>
          <w:sz w:val="24"/>
          <w:szCs w:val="24"/>
        </w:rPr>
        <w:endnoteRef/>
      </w:r>
      <w:r w:rsidRPr="0043049E">
        <w:rPr>
          <w:sz w:val="24"/>
          <w:szCs w:val="24"/>
          <w:lang w:val="en-US"/>
        </w:rPr>
        <w:t xml:space="preserve"> Mather KJ, Bebu I, Baker C, Cohen RM, Crandall JP, DeSouza C, et al; GRADE Research Group. Prevalence of microvascular and macrovascular disease in the Glycemia Reduction Approaches in Diabetes – A Comparative Effectiveness (GRADE) study cohort. </w:t>
      </w:r>
      <w:r w:rsidRPr="004F0E8A">
        <w:rPr>
          <w:sz w:val="24"/>
          <w:szCs w:val="24"/>
          <w:lang w:val="en-US"/>
        </w:rPr>
        <w:t xml:space="preserve">Diabetes Res Clin Pract [Internet]. 2020 [Cited 2024 Jul 02]; 165:108235 Available from: </w:t>
      </w:r>
      <w:hyperlink r:id="rId30" w:history="1">
        <w:r w:rsidRPr="004F0E8A">
          <w:rPr>
            <w:rStyle w:val="Hyperlink"/>
            <w:sz w:val="24"/>
            <w:szCs w:val="24"/>
            <w:lang w:val="en-US"/>
          </w:rPr>
          <w:t>https://linkinghub.elsevier.com/retrieve/pii/S0168-8227(20)30485-X</w:t>
        </w:r>
      </w:hyperlink>
      <w:r w:rsidRPr="004F0E8A">
        <w:rPr>
          <w:sz w:val="24"/>
          <w:szCs w:val="24"/>
          <w:lang w:val="en-US"/>
        </w:rPr>
        <w:t xml:space="preserve"> </w:t>
      </w:r>
    </w:p>
  </w:endnote>
  <w:endnote w:id="40">
    <w:p w14:paraId="4BF2D0AE" w14:textId="77777777" w:rsidR="001A33F5" w:rsidRPr="00470588" w:rsidRDefault="001A33F5" w:rsidP="001A33F5">
      <w:pPr>
        <w:pStyle w:val="EndnoteText"/>
        <w:spacing w:line="480" w:lineRule="auto"/>
      </w:pPr>
      <w:r w:rsidRPr="00470588">
        <w:rPr>
          <w:rStyle w:val="EndnoteReference"/>
          <w:sz w:val="24"/>
          <w:szCs w:val="24"/>
        </w:rPr>
        <w:endnoteRef/>
      </w:r>
      <w:r w:rsidRPr="00470588">
        <w:rPr>
          <w:sz w:val="24"/>
          <w:szCs w:val="24"/>
        </w:rPr>
        <w:t xml:space="preserve"> Reyes FA, Pérez ML, Medina MM, Navarro Y, Fernández A. Aspectos clínicos y epidemiológicos de pacientes ingresados por diabetes mellitus de tipo 2 en el hospital de Moa. MEDISAN [Internet]. 2020 [citado 15 Jun 2024];24(6):1143.</w:t>
      </w:r>
      <w:r w:rsidRPr="00470588">
        <w:t xml:space="preserve"> </w:t>
      </w:r>
      <w:r w:rsidRPr="00470588">
        <w:rPr>
          <w:sz w:val="24"/>
          <w:szCs w:val="24"/>
        </w:rPr>
        <w:t>Disponible en:</w:t>
      </w:r>
      <w:r w:rsidRPr="00470588">
        <w:t xml:space="preserve"> </w:t>
      </w:r>
      <w:hyperlink r:id="rId31" w:history="1">
        <w:r w:rsidRPr="00470588">
          <w:rPr>
            <w:rStyle w:val="Hyperlink"/>
            <w:sz w:val="24"/>
            <w:szCs w:val="24"/>
          </w:rPr>
          <w:t>https://www.medigraphic.com/pdfs/medisan/mds-2020/mds206h.pdf</w:t>
        </w:r>
      </w:hyperlink>
      <w:r w:rsidRPr="00470588">
        <w:rPr>
          <w:sz w:val="24"/>
          <w:szCs w:val="24"/>
        </w:rPr>
        <w:t xml:space="preserve"> </w:t>
      </w:r>
    </w:p>
  </w:endnote>
  <w:endnote w:id="41">
    <w:p w14:paraId="3D3C7BDA" w14:textId="77777777" w:rsidR="001A33F5" w:rsidRPr="00470588" w:rsidRDefault="001A33F5" w:rsidP="001A33F5">
      <w:pPr>
        <w:pStyle w:val="EndnoteText"/>
        <w:spacing w:line="480" w:lineRule="auto"/>
        <w:rPr>
          <w:sz w:val="24"/>
          <w:szCs w:val="24"/>
        </w:rPr>
      </w:pPr>
      <w:r w:rsidRPr="00470588">
        <w:rPr>
          <w:rStyle w:val="EndnoteReference"/>
          <w:sz w:val="24"/>
          <w:szCs w:val="24"/>
        </w:rPr>
        <w:endnoteRef/>
      </w:r>
      <w:r w:rsidRPr="00470588">
        <w:rPr>
          <w:sz w:val="24"/>
          <w:szCs w:val="24"/>
        </w:rPr>
        <w:t xml:space="preserve"> Cardona DL, Cala JC, Borló L. Atención a las personas con diabetes mellitus tipo2, en áreas de salud de Santiago de Cuba. Convención Internacional de Salud </w:t>
      </w:r>
      <w:bookmarkStart w:id="68" w:name="_Hlk176992536"/>
      <w:r w:rsidRPr="00470588">
        <w:rPr>
          <w:sz w:val="24"/>
          <w:szCs w:val="24"/>
        </w:rPr>
        <w:t xml:space="preserve">[Internet]. </w:t>
      </w:r>
      <w:bookmarkEnd w:id="68"/>
      <w:r w:rsidRPr="00470588">
        <w:rPr>
          <w:sz w:val="24"/>
          <w:szCs w:val="24"/>
        </w:rPr>
        <w:t xml:space="preserve">Cuba Salud 2022 </w:t>
      </w:r>
      <w:bookmarkStart w:id="69" w:name="_Hlk176992556"/>
      <w:r w:rsidRPr="00470588">
        <w:rPr>
          <w:sz w:val="24"/>
          <w:szCs w:val="24"/>
        </w:rPr>
        <w:t>[citado 15 Jun 2024]</w:t>
      </w:r>
      <w:bookmarkEnd w:id="69"/>
      <w:r w:rsidRPr="00470588">
        <w:rPr>
          <w:sz w:val="24"/>
          <w:szCs w:val="24"/>
        </w:rPr>
        <w:t xml:space="preserve">. </w:t>
      </w:r>
      <w:bookmarkStart w:id="70" w:name="_Hlk176992465"/>
      <w:r w:rsidRPr="00470588">
        <w:rPr>
          <w:sz w:val="24"/>
          <w:szCs w:val="24"/>
        </w:rPr>
        <w:t xml:space="preserve">Disponible en: </w:t>
      </w:r>
      <w:bookmarkEnd w:id="70"/>
      <w:r w:rsidRPr="00470588">
        <w:fldChar w:fldCharType="begin"/>
      </w:r>
      <w:r w:rsidRPr="00470588">
        <w:instrText>HYPERLINK "https://scholar.google.es/scholar?cluster=15170976072541906998&amp;hl=es&amp;as_sdt=0,5&amp;as_ylo=2020"</w:instrText>
      </w:r>
      <w:r w:rsidRPr="00470588">
        <w:fldChar w:fldCharType="separate"/>
      </w:r>
      <w:r w:rsidRPr="00470588">
        <w:rPr>
          <w:rStyle w:val="Hyperlink"/>
          <w:sz w:val="24"/>
          <w:szCs w:val="24"/>
        </w:rPr>
        <w:t>https://scholar.google.es/scholar?cluster=15170976072541906998&amp;hl=es&amp;as_sdt=0,5&amp;as_ylo=2020</w:t>
      </w:r>
      <w:r w:rsidRPr="00470588">
        <w:rPr>
          <w:rStyle w:val="Hyperlink"/>
          <w:sz w:val="24"/>
          <w:szCs w:val="24"/>
        </w:rPr>
        <w:fldChar w:fldCharType="end"/>
      </w:r>
      <w:r w:rsidRPr="00470588">
        <w:rPr>
          <w:sz w:val="24"/>
          <w:szCs w:val="24"/>
        </w:rPr>
        <w:t xml:space="preserve"> </w:t>
      </w:r>
    </w:p>
  </w:endnote>
  <w:endnote w:id="42">
    <w:p w14:paraId="54682F76" w14:textId="77777777" w:rsidR="001A33F5" w:rsidRPr="00470588" w:rsidRDefault="001A33F5" w:rsidP="001A33F5">
      <w:pPr>
        <w:pStyle w:val="EndnoteText"/>
        <w:spacing w:line="480" w:lineRule="auto"/>
        <w:rPr>
          <w:sz w:val="24"/>
          <w:szCs w:val="24"/>
        </w:rPr>
      </w:pPr>
      <w:r w:rsidRPr="00470588">
        <w:rPr>
          <w:rStyle w:val="EndnoteReference"/>
          <w:sz w:val="24"/>
          <w:szCs w:val="24"/>
        </w:rPr>
        <w:endnoteRef/>
      </w:r>
      <w:r w:rsidRPr="00470588">
        <w:rPr>
          <w:sz w:val="24"/>
          <w:szCs w:val="24"/>
        </w:rPr>
        <w:t xml:space="preserve"> Santiesteban BC, Pizarro RJ, Hernández FM. Estudios de conducción nerviosa en pacientes con neuropatía diabética periférica en miembros inferiores.  Convención Internacional de Salud [Internet]. Cuba Salud 2022 [citado 15 Jun 2024]. Disponible en:</w:t>
      </w:r>
      <w:r w:rsidRPr="00470588">
        <w:t xml:space="preserve"> </w:t>
      </w:r>
      <w:hyperlink r:id="rId32" w:history="1">
        <w:r w:rsidRPr="00470588">
          <w:rPr>
            <w:rStyle w:val="Hyperlink"/>
            <w:sz w:val="24"/>
            <w:szCs w:val="24"/>
          </w:rPr>
          <w:t>https://convencionsalud.sld.cu/index.php/convencionsalud22/2022/paper/viewFile/1965/851</w:t>
        </w:r>
      </w:hyperlink>
      <w:r w:rsidRPr="00470588">
        <w:rPr>
          <w:sz w:val="24"/>
          <w:szCs w:val="24"/>
        </w:rPr>
        <w:t xml:space="preserve"> </w:t>
      </w:r>
    </w:p>
  </w:endnote>
  <w:endnote w:id="43">
    <w:p w14:paraId="3BF1B6D5" w14:textId="77777777" w:rsidR="001A33F5" w:rsidRPr="00470588" w:rsidRDefault="001A33F5" w:rsidP="001A33F5">
      <w:pPr>
        <w:pStyle w:val="EndnoteText"/>
        <w:spacing w:line="480" w:lineRule="auto"/>
        <w:rPr>
          <w:sz w:val="24"/>
          <w:szCs w:val="24"/>
        </w:rPr>
      </w:pPr>
      <w:r w:rsidRPr="00470588">
        <w:rPr>
          <w:rStyle w:val="EndnoteReference"/>
          <w:sz w:val="24"/>
          <w:szCs w:val="24"/>
        </w:rPr>
        <w:endnoteRef/>
      </w:r>
      <w:r w:rsidRPr="00470588">
        <w:rPr>
          <w:sz w:val="24"/>
          <w:szCs w:val="24"/>
        </w:rPr>
        <w:t xml:space="preserve"> Gómez R, Pérez ER, Fernández AS, Barrabí MV. Factores relacionados con las amputaciones en pacientes con pie diabético en Ciego de Ávila de 2015 a 2022. II JORNADA VIRTUAL INTERNACIONAL Y XI PRESENCIAL DE MEDICINA FAMILIAR. [Internet]. 2023 [citado 10 Jul 2024].</w:t>
      </w:r>
      <w:r w:rsidRPr="00470588">
        <w:t xml:space="preserve"> </w:t>
      </w:r>
      <w:r w:rsidRPr="00470588">
        <w:rPr>
          <w:sz w:val="24"/>
          <w:szCs w:val="24"/>
        </w:rPr>
        <w:t>Disponible en:</w:t>
      </w:r>
      <w:r w:rsidRPr="00470588">
        <w:t xml:space="preserve"> </w:t>
      </w:r>
      <w:hyperlink r:id="rId33" w:history="1">
        <w:r w:rsidRPr="00470588">
          <w:rPr>
            <w:rStyle w:val="Hyperlink"/>
            <w:sz w:val="24"/>
            <w:szCs w:val="24"/>
          </w:rPr>
          <w:t>https://scholar.google.es/scholar?cluster=8295961436098634997&amp;hl=es&amp;as_sdt=0,5&amp;as_ylo=2020</w:t>
        </w:r>
      </w:hyperlink>
      <w:r w:rsidRPr="00470588">
        <w:rPr>
          <w:sz w:val="24"/>
          <w:szCs w:val="24"/>
        </w:rPr>
        <w:t xml:space="preserve"> </w:t>
      </w:r>
    </w:p>
  </w:endnote>
  <w:endnote w:id="44">
    <w:p w14:paraId="42FFD19C" w14:textId="77777777" w:rsidR="001A33F5" w:rsidRPr="00470588" w:rsidRDefault="001A33F5" w:rsidP="001A33F5">
      <w:pPr>
        <w:pStyle w:val="EndnoteText"/>
        <w:spacing w:line="480" w:lineRule="auto"/>
        <w:rPr>
          <w:sz w:val="24"/>
          <w:szCs w:val="24"/>
        </w:rPr>
      </w:pPr>
      <w:r w:rsidRPr="00470588">
        <w:rPr>
          <w:rStyle w:val="EndnoteReference"/>
          <w:sz w:val="24"/>
          <w:szCs w:val="24"/>
        </w:rPr>
        <w:endnoteRef/>
      </w:r>
      <w:r w:rsidRPr="00470588">
        <w:rPr>
          <w:sz w:val="24"/>
          <w:szCs w:val="24"/>
        </w:rPr>
        <w:t xml:space="preserve"> Suárez-Cabrera Y, González-Castro K, León-Medina D, Santalla-Labrador Y, Álvarez-Ravelo Y, Hernández-Rodríguez Y. Caracterización clínica, epidemiológica a pacientes diabéticos con dislipidemia. Rev Ciencias Médicas </w:t>
      </w:r>
      <w:bookmarkStart w:id="71" w:name="_Hlk176994149"/>
      <w:r w:rsidRPr="00470588">
        <w:rPr>
          <w:sz w:val="24"/>
          <w:szCs w:val="24"/>
        </w:rPr>
        <w:t xml:space="preserve">[Internet]. </w:t>
      </w:r>
      <w:bookmarkEnd w:id="71"/>
      <w:r w:rsidRPr="00470588">
        <w:rPr>
          <w:sz w:val="24"/>
          <w:szCs w:val="24"/>
        </w:rPr>
        <w:t xml:space="preserve">2024 </w:t>
      </w:r>
      <w:bookmarkStart w:id="72" w:name="_Hlk176991461"/>
      <w:r w:rsidRPr="00470588">
        <w:rPr>
          <w:sz w:val="24"/>
          <w:szCs w:val="24"/>
        </w:rPr>
        <w:t>[citado 10 Jul 2024]</w:t>
      </w:r>
      <w:bookmarkEnd w:id="72"/>
      <w:r w:rsidRPr="00470588">
        <w:rPr>
          <w:sz w:val="24"/>
          <w:szCs w:val="24"/>
        </w:rPr>
        <w:t xml:space="preserve">; 28 (1): 1-10. </w:t>
      </w:r>
      <w:bookmarkStart w:id="73" w:name="_Hlk176991309"/>
      <w:r w:rsidRPr="00470588">
        <w:rPr>
          <w:sz w:val="24"/>
          <w:szCs w:val="24"/>
        </w:rPr>
        <w:t>Disponible en:</w:t>
      </w:r>
      <w:bookmarkEnd w:id="73"/>
      <w:r w:rsidRPr="00470588">
        <w:rPr>
          <w:sz w:val="24"/>
          <w:szCs w:val="24"/>
        </w:rPr>
        <w:t> </w:t>
      </w:r>
      <w:hyperlink r:id="rId34" w:history="1">
        <w:r w:rsidRPr="00470588">
          <w:rPr>
            <w:rStyle w:val="Hyperlink"/>
            <w:sz w:val="24"/>
            <w:szCs w:val="24"/>
          </w:rPr>
          <w:t>https://revcmpinar.sld.cu/index.php/publicaciones/article/view/6179</w:t>
        </w:r>
      </w:hyperlink>
    </w:p>
  </w:endnote>
  <w:endnote w:id="45">
    <w:p w14:paraId="6B192B68" w14:textId="77777777" w:rsidR="001A33F5" w:rsidRPr="008F5B1A" w:rsidRDefault="001A33F5" w:rsidP="001A33F5">
      <w:pPr>
        <w:rPr>
          <w:rFonts w:eastAsia="Times New Roman"/>
          <w:lang w:val="en-US"/>
        </w:rPr>
      </w:pPr>
      <w:r w:rsidRPr="00470588">
        <w:rPr>
          <w:rStyle w:val="EndnoteReference"/>
        </w:rPr>
        <w:endnoteRef/>
      </w:r>
      <w:r w:rsidRPr="00470588">
        <w:t xml:space="preserve"> </w:t>
      </w:r>
      <w:r w:rsidRPr="00470588">
        <w:rPr>
          <w:rFonts w:eastAsia="Times New Roman"/>
        </w:rPr>
        <w:t xml:space="preserve">Khawaja N, Abu-Shennar J, Saleh M, Dahbour SS, Khader YS, Ajlouni KM. </w:t>
      </w:r>
      <w:r w:rsidRPr="0043049E">
        <w:rPr>
          <w:rFonts w:eastAsia="Times New Roman"/>
          <w:lang w:val="en-US"/>
        </w:rPr>
        <w:t xml:space="preserve">The prevalence and risk factors of peripheral neuropathy among patients with type 2 diabetes mellitus; the case of Jordan. Diabetol Metab Syndr [Internet]. 2018 Feb [cited 2024 Jun 05]; 10:8. </w:t>
      </w:r>
      <w:r w:rsidRPr="008F5B1A">
        <w:rPr>
          <w:rFonts w:eastAsia="Times New Roman"/>
          <w:lang w:val="en-US"/>
        </w:rPr>
        <w:t xml:space="preserve">Available from: </w:t>
      </w:r>
      <w:hyperlink r:id="rId35" w:history="1">
        <w:r w:rsidRPr="008F5B1A">
          <w:rPr>
            <w:rStyle w:val="Hyperlink"/>
            <w:rFonts w:eastAsia="Times New Roman"/>
            <w:lang w:val="en-US"/>
          </w:rPr>
          <w:t>https://dmsjournal.biomedcentral.com/articles/10.1186/s13098-018-0309-6</w:t>
        </w:r>
      </w:hyperlink>
      <w:r w:rsidRPr="008F5B1A">
        <w:rPr>
          <w:rFonts w:eastAsia="Times New Roman"/>
          <w:lang w:val="en-US"/>
        </w:rPr>
        <w:t xml:space="preserve"> </w:t>
      </w:r>
    </w:p>
  </w:endnote>
  <w:endnote w:id="46">
    <w:p w14:paraId="3FA31789" w14:textId="77777777" w:rsidR="001A33F5" w:rsidRPr="00470588" w:rsidRDefault="001A33F5" w:rsidP="001A33F5">
      <w:r w:rsidRPr="00470588">
        <w:rPr>
          <w:rStyle w:val="EndnoteReference"/>
        </w:rPr>
        <w:endnoteRef/>
      </w:r>
      <w:r w:rsidRPr="00470588">
        <w:t xml:space="preserve"> González L, Cooper D, Méndez H, Cardona D, Rodríguez A. Barreras identificadas por pacientes con diabetes mellitus de tipo 2 en su atención integral. MEDISAN [Internet]. 2021 Abr [citado 03 Jun 2024]; 25 (2): 388-403. Disponible en: </w:t>
      </w:r>
      <w:hyperlink r:id="rId36" w:history="1">
        <w:r w:rsidRPr="00470588">
          <w:rPr>
            <w:color w:val="0563C1" w:themeColor="hyperlink"/>
            <w:u w:val="single"/>
          </w:rPr>
          <w:t>http://scielo.sld.cu/pdf/san/v25n2/1029-3019-san-25-02-388.pdf</w:t>
        </w:r>
      </w:hyperlink>
    </w:p>
  </w:endnote>
  <w:endnote w:id="47">
    <w:p w14:paraId="6ECACC31" w14:textId="77777777" w:rsidR="001A33F5" w:rsidRPr="00470588" w:rsidRDefault="001A33F5" w:rsidP="001A33F5">
      <w:pPr>
        <w:contextualSpacing/>
        <w:rPr>
          <w:u w:val="single"/>
        </w:rPr>
      </w:pPr>
      <w:r w:rsidRPr="00470588">
        <w:rPr>
          <w:rStyle w:val="EndnoteReference"/>
        </w:rPr>
        <w:endnoteRef/>
      </w:r>
      <w:r w:rsidRPr="00470588">
        <w:t xml:space="preserve"> Martínez I, Vázquez IE, Álvarez YB. Impacto de una intervención educativa en diabéticos tipo 2. Medicent Electrón [Internet]. 2022 Jun [citado 12 Jun 2024]; 26(2): 458-466. Disponible en: </w:t>
      </w:r>
      <w:hyperlink r:id="rId37" w:history="1">
        <w:r w:rsidRPr="00470588">
          <w:rPr>
            <w:color w:val="0563C1" w:themeColor="hyperlink"/>
            <w:u w:val="single"/>
          </w:rPr>
          <w:t>http://www.medicentro.sld.cu/index.php/medicentro/article/view/3498/2932</w:t>
        </w:r>
      </w:hyperlink>
    </w:p>
  </w:endnote>
  <w:endnote w:id="48">
    <w:p w14:paraId="61E158DD" w14:textId="5BD413CF" w:rsidR="00124B02" w:rsidRPr="008F5B1A" w:rsidRDefault="00124B02" w:rsidP="00E412D8">
      <w:pPr>
        <w:rPr>
          <w:rFonts w:eastAsia="Times New Roman"/>
          <w:lang w:val="en-US"/>
        </w:rPr>
      </w:pPr>
      <w:r w:rsidRPr="00470588">
        <w:rPr>
          <w:rStyle w:val="EndnoteReference"/>
        </w:rPr>
        <w:endnoteRef/>
      </w:r>
      <w:r w:rsidRPr="0043049E">
        <w:rPr>
          <w:lang w:val="en-US"/>
        </w:rPr>
        <w:t xml:space="preserve"> </w:t>
      </w:r>
      <w:r w:rsidRPr="0043049E">
        <w:rPr>
          <w:rFonts w:eastAsia="Times New Roman"/>
          <w:lang w:val="en-US"/>
        </w:rPr>
        <w:t>Meijer JWE, Smit AJ, Sonderen EV, Groothoff JW, Eisma WH, Links TP. Symptom scoring systems to diagnose distal polyneuropathy in diabetes: the Diabetic Neuropathy Symptom score. Diabet Med</w:t>
      </w:r>
      <w:r w:rsidR="00E412D8" w:rsidRPr="0043049E">
        <w:rPr>
          <w:rFonts w:eastAsia="Times New Roman"/>
          <w:lang w:val="en-US"/>
        </w:rPr>
        <w:t xml:space="preserve"> [Internet].</w:t>
      </w:r>
      <w:r w:rsidRPr="0043049E">
        <w:rPr>
          <w:rFonts w:eastAsia="Times New Roman"/>
          <w:lang w:val="en-US"/>
        </w:rPr>
        <w:t xml:space="preserve"> 2002 Nov</w:t>
      </w:r>
      <w:r w:rsidR="00E412D8" w:rsidRPr="0043049E">
        <w:rPr>
          <w:rFonts w:eastAsia="Times New Roman"/>
          <w:lang w:val="en-US"/>
        </w:rPr>
        <w:t xml:space="preserve"> [cited 2024 Jun 28]</w:t>
      </w:r>
      <w:r w:rsidRPr="0043049E">
        <w:rPr>
          <w:rFonts w:eastAsia="Times New Roman"/>
          <w:lang w:val="en-US"/>
        </w:rPr>
        <w:t>;19(11):962-5.</w:t>
      </w:r>
      <w:r w:rsidRPr="0043049E">
        <w:rPr>
          <w:lang w:val="en-US"/>
        </w:rPr>
        <w:t xml:space="preserve"> </w:t>
      </w:r>
      <w:r w:rsidRPr="008F5B1A">
        <w:rPr>
          <w:lang w:val="en-US"/>
        </w:rPr>
        <w:t>Available from:</w:t>
      </w:r>
      <w:r w:rsidR="00AE1D56" w:rsidRPr="008F5B1A">
        <w:rPr>
          <w:lang w:val="en-US"/>
        </w:rPr>
        <w:t xml:space="preserve"> </w:t>
      </w:r>
      <w:hyperlink r:id="rId38" w:history="1">
        <w:r w:rsidR="00AE1D56" w:rsidRPr="008F5B1A">
          <w:rPr>
            <w:rStyle w:val="Hyperlink"/>
            <w:lang w:val="en-US"/>
          </w:rPr>
          <w:t>https://onlinelibrary.wiley.com/doi/abs/10.1046/j.1464-5491.2002.00819.x</w:t>
        </w:r>
      </w:hyperlink>
      <w:r w:rsidR="00AE1D56" w:rsidRPr="008F5B1A">
        <w:rPr>
          <w:lang w:val="en-US"/>
        </w:rPr>
        <w:t xml:space="preserve"> </w:t>
      </w:r>
    </w:p>
  </w:endnote>
  <w:endnote w:id="49">
    <w:p w14:paraId="7748B26F" w14:textId="77777777" w:rsidR="00E412D8" w:rsidRPr="00470588" w:rsidRDefault="00E412D8" w:rsidP="00E412D8">
      <w:pPr>
        <w:contextualSpacing/>
      </w:pPr>
      <w:r w:rsidRPr="00470588">
        <w:rPr>
          <w:rStyle w:val="EndnoteReference"/>
        </w:rPr>
        <w:endnoteRef/>
      </w:r>
      <w:r w:rsidRPr="00470588">
        <w:t xml:space="preserve"> WMA. Declaración de Helsinki de la Asociación Médica Mundial. Principios éticos para las investigaciones médicas en seres humanos. 64ª Asamblea General; 2013 octubre; Fortaleza, Brasil [citado 05 May 2022]. Disponible en:   </w:t>
      </w:r>
      <w:hyperlink r:id="rId39" w:history="1">
        <w:r w:rsidRPr="00470588">
          <w:rPr>
            <w:color w:val="0563C1" w:themeColor="hyperlink"/>
            <w:u w:val="single"/>
          </w:rPr>
          <w:t>http://www.wma.net/es/policies-post/declaracion-de-helsinki-de-la-amm-principios-eticos-para-las-investigaciones-medicas-en-seres-humanos/</w:t>
        </w:r>
      </w:hyperlink>
    </w:p>
    <w:p w14:paraId="70E4C156" w14:textId="3AF252AC" w:rsidR="00E412D8" w:rsidRPr="00E412D8" w:rsidRDefault="00E412D8">
      <w:pPr>
        <w:pStyle w:val="EndnoteText"/>
        <w:rPr>
          <w:lang w:val="es-MX"/>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9862825"/>
      <w:docPartObj>
        <w:docPartGallery w:val="Page Numbers (Bottom of Page)"/>
        <w:docPartUnique/>
      </w:docPartObj>
    </w:sdtPr>
    <w:sdtContent>
      <w:p w14:paraId="397FB399" w14:textId="064CE262" w:rsidR="004B298A" w:rsidRPr="00470588" w:rsidRDefault="004B298A">
        <w:pPr>
          <w:pStyle w:val="Footer"/>
          <w:jc w:val="right"/>
        </w:pPr>
        <w:r w:rsidRPr="00470588">
          <w:fldChar w:fldCharType="begin"/>
        </w:r>
        <w:r w:rsidRPr="00470588">
          <w:instrText xml:space="preserve"> PAGE   \* MERGEFORMAT </w:instrText>
        </w:r>
        <w:r w:rsidRPr="00470588">
          <w:fldChar w:fldCharType="separate"/>
        </w:r>
        <w:r w:rsidR="0043049E">
          <w:rPr>
            <w:noProof/>
          </w:rPr>
          <w:t>36</w:t>
        </w:r>
        <w:r w:rsidRPr="00470588">
          <w:fldChar w:fldCharType="end"/>
        </w:r>
      </w:p>
    </w:sdtContent>
  </w:sdt>
  <w:p w14:paraId="47D3CB73" w14:textId="77777777" w:rsidR="000C73FA" w:rsidRPr="00470588" w:rsidRDefault="000C7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265A4" w14:textId="77777777" w:rsidR="000C73FA" w:rsidRPr="00470588" w:rsidRDefault="000C7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36C5D" w14:textId="77777777" w:rsidR="00FC3B17" w:rsidRPr="00470588" w:rsidRDefault="00FC3B17" w:rsidP="000C73FA">
      <w:pPr>
        <w:spacing w:line="240" w:lineRule="auto"/>
      </w:pPr>
      <w:r w:rsidRPr="00470588">
        <w:separator/>
      </w:r>
    </w:p>
  </w:footnote>
  <w:footnote w:type="continuationSeparator" w:id="0">
    <w:p w14:paraId="45AD734D" w14:textId="77777777" w:rsidR="00FC3B17" w:rsidRPr="00470588" w:rsidRDefault="00FC3B17" w:rsidP="000C73FA">
      <w:pPr>
        <w:spacing w:line="240" w:lineRule="auto"/>
      </w:pPr>
      <w:r w:rsidRPr="004705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AE656" w14:textId="2BCA073D" w:rsidR="000C73FA" w:rsidRPr="00470588" w:rsidRDefault="000C73FA" w:rsidP="000C73FA">
    <w:pPr>
      <w:pStyle w:val="Header"/>
      <w:tabs>
        <w:tab w:val="clear" w:pos="4252"/>
        <w:tab w:val="clear" w:pos="8504"/>
        <w:tab w:val="left" w:pos="5597"/>
      </w:tabs>
    </w:pPr>
    <w:r w:rsidRPr="0047058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5E035" w14:textId="77777777" w:rsidR="000C73FA" w:rsidRPr="00470588" w:rsidRDefault="000C73FA" w:rsidP="000C73FA">
    <w:pPr>
      <w:pStyle w:val="Header"/>
      <w:tabs>
        <w:tab w:val="clear" w:pos="4252"/>
        <w:tab w:val="clear" w:pos="8504"/>
        <w:tab w:val="left" w:pos="5597"/>
      </w:tabs>
    </w:pPr>
    <w:r w:rsidRPr="0047058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D03C9" w14:textId="77777777" w:rsidR="000C73FA" w:rsidRPr="00470588" w:rsidRDefault="000C73FA" w:rsidP="000C73FA">
    <w:pPr>
      <w:pStyle w:val="Header"/>
      <w:tabs>
        <w:tab w:val="clear" w:pos="4252"/>
        <w:tab w:val="clear" w:pos="8504"/>
        <w:tab w:val="left" w:pos="5597"/>
      </w:tabs>
    </w:pPr>
    <w:r w:rsidRPr="0047058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B5CEA"/>
    <w:multiLevelType w:val="hybridMultilevel"/>
    <w:tmpl w:val="B35E8E2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1C5110F4"/>
    <w:multiLevelType w:val="hybridMultilevel"/>
    <w:tmpl w:val="4036C12A"/>
    <w:lvl w:ilvl="0" w:tplc="5C0A0001">
      <w:start w:val="1"/>
      <w:numFmt w:val="bullet"/>
      <w:lvlText w:val=""/>
      <w:lvlJc w:val="left"/>
      <w:pPr>
        <w:ind w:left="783" w:hanging="360"/>
      </w:pPr>
      <w:rPr>
        <w:rFonts w:ascii="Symbol" w:hAnsi="Symbol" w:hint="default"/>
      </w:rPr>
    </w:lvl>
    <w:lvl w:ilvl="1" w:tplc="5C0A0003" w:tentative="1">
      <w:start w:val="1"/>
      <w:numFmt w:val="bullet"/>
      <w:lvlText w:val="o"/>
      <w:lvlJc w:val="left"/>
      <w:pPr>
        <w:ind w:left="1503" w:hanging="360"/>
      </w:pPr>
      <w:rPr>
        <w:rFonts w:ascii="Courier New" w:hAnsi="Courier New" w:cs="Courier New" w:hint="default"/>
      </w:rPr>
    </w:lvl>
    <w:lvl w:ilvl="2" w:tplc="5C0A0005" w:tentative="1">
      <w:start w:val="1"/>
      <w:numFmt w:val="bullet"/>
      <w:lvlText w:val=""/>
      <w:lvlJc w:val="left"/>
      <w:pPr>
        <w:ind w:left="2223" w:hanging="360"/>
      </w:pPr>
      <w:rPr>
        <w:rFonts w:ascii="Wingdings" w:hAnsi="Wingdings" w:hint="default"/>
      </w:rPr>
    </w:lvl>
    <w:lvl w:ilvl="3" w:tplc="5C0A0001" w:tentative="1">
      <w:start w:val="1"/>
      <w:numFmt w:val="bullet"/>
      <w:lvlText w:val=""/>
      <w:lvlJc w:val="left"/>
      <w:pPr>
        <w:ind w:left="2943" w:hanging="360"/>
      </w:pPr>
      <w:rPr>
        <w:rFonts w:ascii="Symbol" w:hAnsi="Symbol" w:hint="default"/>
      </w:rPr>
    </w:lvl>
    <w:lvl w:ilvl="4" w:tplc="5C0A0003" w:tentative="1">
      <w:start w:val="1"/>
      <w:numFmt w:val="bullet"/>
      <w:lvlText w:val="o"/>
      <w:lvlJc w:val="left"/>
      <w:pPr>
        <w:ind w:left="3663" w:hanging="360"/>
      </w:pPr>
      <w:rPr>
        <w:rFonts w:ascii="Courier New" w:hAnsi="Courier New" w:cs="Courier New" w:hint="default"/>
      </w:rPr>
    </w:lvl>
    <w:lvl w:ilvl="5" w:tplc="5C0A0005" w:tentative="1">
      <w:start w:val="1"/>
      <w:numFmt w:val="bullet"/>
      <w:lvlText w:val=""/>
      <w:lvlJc w:val="left"/>
      <w:pPr>
        <w:ind w:left="4383" w:hanging="360"/>
      </w:pPr>
      <w:rPr>
        <w:rFonts w:ascii="Wingdings" w:hAnsi="Wingdings" w:hint="default"/>
      </w:rPr>
    </w:lvl>
    <w:lvl w:ilvl="6" w:tplc="5C0A0001" w:tentative="1">
      <w:start w:val="1"/>
      <w:numFmt w:val="bullet"/>
      <w:lvlText w:val=""/>
      <w:lvlJc w:val="left"/>
      <w:pPr>
        <w:ind w:left="5103" w:hanging="360"/>
      </w:pPr>
      <w:rPr>
        <w:rFonts w:ascii="Symbol" w:hAnsi="Symbol" w:hint="default"/>
      </w:rPr>
    </w:lvl>
    <w:lvl w:ilvl="7" w:tplc="5C0A0003" w:tentative="1">
      <w:start w:val="1"/>
      <w:numFmt w:val="bullet"/>
      <w:lvlText w:val="o"/>
      <w:lvlJc w:val="left"/>
      <w:pPr>
        <w:ind w:left="5823" w:hanging="360"/>
      </w:pPr>
      <w:rPr>
        <w:rFonts w:ascii="Courier New" w:hAnsi="Courier New" w:cs="Courier New" w:hint="default"/>
      </w:rPr>
    </w:lvl>
    <w:lvl w:ilvl="8" w:tplc="5C0A0005" w:tentative="1">
      <w:start w:val="1"/>
      <w:numFmt w:val="bullet"/>
      <w:lvlText w:val=""/>
      <w:lvlJc w:val="left"/>
      <w:pPr>
        <w:ind w:left="6543" w:hanging="360"/>
      </w:pPr>
      <w:rPr>
        <w:rFonts w:ascii="Wingdings" w:hAnsi="Wingdings" w:hint="default"/>
      </w:rPr>
    </w:lvl>
  </w:abstractNum>
  <w:abstractNum w:abstractNumId="2" w15:restartNumberingAfterBreak="0">
    <w:nsid w:val="333D7B88"/>
    <w:multiLevelType w:val="multilevel"/>
    <w:tmpl w:val="DE96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E7D9C"/>
    <w:multiLevelType w:val="hybridMultilevel"/>
    <w:tmpl w:val="7A207E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C7042F"/>
    <w:multiLevelType w:val="hybridMultilevel"/>
    <w:tmpl w:val="6866671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57F35F00"/>
    <w:multiLevelType w:val="multilevel"/>
    <w:tmpl w:val="8C8C7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5A6047"/>
    <w:multiLevelType w:val="hybridMultilevel"/>
    <w:tmpl w:val="8A74097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612469B0"/>
    <w:multiLevelType w:val="hybridMultilevel"/>
    <w:tmpl w:val="839EE6D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61ED158B"/>
    <w:multiLevelType w:val="hybridMultilevel"/>
    <w:tmpl w:val="64E664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6CA116B"/>
    <w:multiLevelType w:val="multilevel"/>
    <w:tmpl w:val="B5F4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3250032">
    <w:abstractNumId w:val="1"/>
  </w:num>
  <w:num w:numId="2" w16cid:durableId="1905874739">
    <w:abstractNumId w:val="2"/>
  </w:num>
  <w:num w:numId="3" w16cid:durableId="1852141522">
    <w:abstractNumId w:val="5"/>
  </w:num>
  <w:num w:numId="4" w16cid:durableId="762070872">
    <w:abstractNumId w:val="9"/>
  </w:num>
  <w:num w:numId="5" w16cid:durableId="1213617738">
    <w:abstractNumId w:val="3"/>
  </w:num>
  <w:num w:numId="6" w16cid:durableId="10880806">
    <w:abstractNumId w:val="7"/>
  </w:num>
  <w:num w:numId="7" w16cid:durableId="105852680">
    <w:abstractNumId w:val="8"/>
  </w:num>
  <w:num w:numId="8" w16cid:durableId="447893673">
    <w:abstractNumId w:val="0"/>
  </w:num>
  <w:num w:numId="9" w16cid:durableId="634917562">
    <w:abstractNumId w:val="4"/>
  </w:num>
  <w:num w:numId="10" w16cid:durableId="1255015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FA"/>
    <w:rsid w:val="0000489A"/>
    <w:rsid w:val="0001529B"/>
    <w:rsid w:val="00022B89"/>
    <w:rsid w:val="00027F0C"/>
    <w:rsid w:val="00036D6A"/>
    <w:rsid w:val="0004380C"/>
    <w:rsid w:val="00044D0B"/>
    <w:rsid w:val="00060BFC"/>
    <w:rsid w:val="000A0835"/>
    <w:rsid w:val="000A31F4"/>
    <w:rsid w:val="000C332A"/>
    <w:rsid w:val="000C73FA"/>
    <w:rsid w:val="00103063"/>
    <w:rsid w:val="00115838"/>
    <w:rsid w:val="001216E6"/>
    <w:rsid w:val="00124B02"/>
    <w:rsid w:val="00137E85"/>
    <w:rsid w:val="001557F2"/>
    <w:rsid w:val="00162AE1"/>
    <w:rsid w:val="00166045"/>
    <w:rsid w:val="001A1796"/>
    <w:rsid w:val="001A31BB"/>
    <w:rsid w:val="001A33F5"/>
    <w:rsid w:val="001A5EC3"/>
    <w:rsid w:val="001C2F57"/>
    <w:rsid w:val="001C5279"/>
    <w:rsid w:val="001C52AA"/>
    <w:rsid w:val="001E4C9D"/>
    <w:rsid w:val="001F2E8D"/>
    <w:rsid w:val="00201872"/>
    <w:rsid w:val="00210006"/>
    <w:rsid w:val="00213943"/>
    <w:rsid w:val="00236CDC"/>
    <w:rsid w:val="00245BC6"/>
    <w:rsid w:val="002609B4"/>
    <w:rsid w:val="002B5D88"/>
    <w:rsid w:val="002C1DC5"/>
    <w:rsid w:val="002C2A3C"/>
    <w:rsid w:val="002C4DD1"/>
    <w:rsid w:val="002E4FA3"/>
    <w:rsid w:val="002F0FB8"/>
    <w:rsid w:val="00316B18"/>
    <w:rsid w:val="00321F5A"/>
    <w:rsid w:val="0032393E"/>
    <w:rsid w:val="003330C7"/>
    <w:rsid w:val="003350EC"/>
    <w:rsid w:val="00351613"/>
    <w:rsid w:val="00374723"/>
    <w:rsid w:val="003829CA"/>
    <w:rsid w:val="00387B5C"/>
    <w:rsid w:val="00387D74"/>
    <w:rsid w:val="0039385D"/>
    <w:rsid w:val="0039767B"/>
    <w:rsid w:val="003A6618"/>
    <w:rsid w:val="003D15AA"/>
    <w:rsid w:val="003E34C7"/>
    <w:rsid w:val="003E4F50"/>
    <w:rsid w:val="003F3B27"/>
    <w:rsid w:val="00405D32"/>
    <w:rsid w:val="004205FF"/>
    <w:rsid w:val="0043049E"/>
    <w:rsid w:val="0047035A"/>
    <w:rsid w:val="00470588"/>
    <w:rsid w:val="004728D8"/>
    <w:rsid w:val="004918FE"/>
    <w:rsid w:val="004B298A"/>
    <w:rsid w:val="004C13FC"/>
    <w:rsid w:val="004C69C6"/>
    <w:rsid w:val="004D05FF"/>
    <w:rsid w:val="004D1D0A"/>
    <w:rsid w:val="004D5B70"/>
    <w:rsid w:val="004E2D64"/>
    <w:rsid w:val="004E6AD8"/>
    <w:rsid w:val="004F0E8A"/>
    <w:rsid w:val="00523611"/>
    <w:rsid w:val="005264CB"/>
    <w:rsid w:val="00530BF6"/>
    <w:rsid w:val="00536F4B"/>
    <w:rsid w:val="00540422"/>
    <w:rsid w:val="00560B2B"/>
    <w:rsid w:val="0056483B"/>
    <w:rsid w:val="0057571F"/>
    <w:rsid w:val="00586051"/>
    <w:rsid w:val="005C55D7"/>
    <w:rsid w:val="005D2D3E"/>
    <w:rsid w:val="005D5674"/>
    <w:rsid w:val="005D78C9"/>
    <w:rsid w:val="005E6477"/>
    <w:rsid w:val="005F08F7"/>
    <w:rsid w:val="005F6B62"/>
    <w:rsid w:val="00601882"/>
    <w:rsid w:val="00601C6D"/>
    <w:rsid w:val="00612DD5"/>
    <w:rsid w:val="006339E1"/>
    <w:rsid w:val="0065429C"/>
    <w:rsid w:val="0069373C"/>
    <w:rsid w:val="006B7929"/>
    <w:rsid w:val="006C2D31"/>
    <w:rsid w:val="006F06EB"/>
    <w:rsid w:val="006F40F6"/>
    <w:rsid w:val="00741698"/>
    <w:rsid w:val="0074304F"/>
    <w:rsid w:val="00775F0B"/>
    <w:rsid w:val="0079211D"/>
    <w:rsid w:val="007962F3"/>
    <w:rsid w:val="007A0865"/>
    <w:rsid w:val="007B27D9"/>
    <w:rsid w:val="007B3246"/>
    <w:rsid w:val="007C61AA"/>
    <w:rsid w:val="007D01A8"/>
    <w:rsid w:val="007F23AE"/>
    <w:rsid w:val="007F3D9C"/>
    <w:rsid w:val="007F4F35"/>
    <w:rsid w:val="0081325D"/>
    <w:rsid w:val="00820492"/>
    <w:rsid w:val="00820E12"/>
    <w:rsid w:val="00834815"/>
    <w:rsid w:val="0083746F"/>
    <w:rsid w:val="0086165E"/>
    <w:rsid w:val="00862729"/>
    <w:rsid w:val="00867071"/>
    <w:rsid w:val="008909A0"/>
    <w:rsid w:val="00890B97"/>
    <w:rsid w:val="008A4432"/>
    <w:rsid w:val="008C0379"/>
    <w:rsid w:val="008F5B1A"/>
    <w:rsid w:val="00930CAE"/>
    <w:rsid w:val="0094245B"/>
    <w:rsid w:val="00947957"/>
    <w:rsid w:val="00951AC0"/>
    <w:rsid w:val="00991DEF"/>
    <w:rsid w:val="009A3C30"/>
    <w:rsid w:val="009B2D04"/>
    <w:rsid w:val="009C5693"/>
    <w:rsid w:val="009D7DC1"/>
    <w:rsid w:val="009E1549"/>
    <w:rsid w:val="00A01E43"/>
    <w:rsid w:val="00A05601"/>
    <w:rsid w:val="00A13C31"/>
    <w:rsid w:val="00A15BBB"/>
    <w:rsid w:val="00A33A2F"/>
    <w:rsid w:val="00A33B24"/>
    <w:rsid w:val="00A35971"/>
    <w:rsid w:val="00A37F72"/>
    <w:rsid w:val="00A467B4"/>
    <w:rsid w:val="00A95B66"/>
    <w:rsid w:val="00AB15D5"/>
    <w:rsid w:val="00AD56B7"/>
    <w:rsid w:val="00AE1D56"/>
    <w:rsid w:val="00B20F6A"/>
    <w:rsid w:val="00B3261C"/>
    <w:rsid w:val="00B47789"/>
    <w:rsid w:val="00B57E50"/>
    <w:rsid w:val="00B8295B"/>
    <w:rsid w:val="00B87F86"/>
    <w:rsid w:val="00BB62C9"/>
    <w:rsid w:val="00BD6F14"/>
    <w:rsid w:val="00C022EE"/>
    <w:rsid w:val="00C21CB8"/>
    <w:rsid w:val="00C240B4"/>
    <w:rsid w:val="00CD7C38"/>
    <w:rsid w:val="00CE128E"/>
    <w:rsid w:val="00CE2682"/>
    <w:rsid w:val="00CE5A04"/>
    <w:rsid w:val="00D05203"/>
    <w:rsid w:val="00D164AD"/>
    <w:rsid w:val="00D25FA9"/>
    <w:rsid w:val="00D26E04"/>
    <w:rsid w:val="00D56F0D"/>
    <w:rsid w:val="00D773B3"/>
    <w:rsid w:val="00D844CF"/>
    <w:rsid w:val="00DA719A"/>
    <w:rsid w:val="00DB2A16"/>
    <w:rsid w:val="00DC25AF"/>
    <w:rsid w:val="00DC2C66"/>
    <w:rsid w:val="00DE4189"/>
    <w:rsid w:val="00E0598B"/>
    <w:rsid w:val="00E24E38"/>
    <w:rsid w:val="00E37D9F"/>
    <w:rsid w:val="00E412D8"/>
    <w:rsid w:val="00E52AEA"/>
    <w:rsid w:val="00E64E61"/>
    <w:rsid w:val="00E85168"/>
    <w:rsid w:val="00E94C91"/>
    <w:rsid w:val="00EC1A44"/>
    <w:rsid w:val="00EC4527"/>
    <w:rsid w:val="00ED3E4F"/>
    <w:rsid w:val="00EE1F0F"/>
    <w:rsid w:val="00F06E56"/>
    <w:rsid w:val="00F32AAC"/>
    <w:rsid w:val="00F47826"/>
    <w:rsid w:val="00F53E6B"/>
    <w:rsid w:val="00F804CA"/>
    <w:rsid w:val="00F8395C"/>
    <w:rsid w:val="00F84D5E"/>
    <w:rsid w:val="00FB390D"/>
    <w:rsid w:val="00FC130B"/>
    <w:rsid w:val="00FC3862"/>
    <w:rsid w:val="00FC3B17"/>
    <w:rsid w:val="00FC3F47"/>
    <w:rsid w:val="00FD6CD0"/>
    <w:rsid w:val="00FD6E6A"/>
    <w:rsid w:val="00FE7951"/>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49F7"/>
  <w15:chartTrackingRefBased/>
  <w15:docId w15:val="{1A29C819-B8AC-4E7C-87F4-05F44B43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s-CU"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Heading1">
    <w:name w:val="heading 1"/>
    <w:basedOn w:val="Normal"/>
    <w:next w:val="Normal"/>
    <w:link w:val="Heading1Char"/>
    <w:uiPriority w:val="9"/>
    <w:qFormat/>
    <w:rsid w:val="000C73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73F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3FA"/>
    <w:pPr>
      <w:tabs>
        <w:tab w:val="center" w:pos="4252"/>
        <w:tab w:val="right" w:pos="8504"/>
      </w:tabs>
      <w:spacing w:line="240" w:lineRule="auto"/>
    </w:pPr>
  </w:style>
  <w:style w:type="character" w:customStyle="1" w:styleId="HeaderChar">
    <w:name w:val="Header Char"/>
    <w:basedOn w:val="DefaultParagraphFont"/>
    <w:link w:val="Header"/>
    <w:uiPriority w:val="99"/>
    <w:rsid w:val="000C73FA"/>
  </w:style>
  <w:style w:type="paragraph" w:styleId="Footer">
    <w:name w:val="footer"/>
    <w:basedOn w:val="Normal"/>
    <w:link w:val="FooterChar"/>
    <w:uiPriority w:val="99"/>
    <w:unhideWhenUsed/>
    <w:rsid w:val="000C73FA"/>
    <w:pPr>
      <w:tabs>
        <w:tab w:val="center" w:pos="4252"/>
        <w:tab w:val="right" w:pos="8504"/>
      </w:tabs>
      <w:spacing w:line="240" w:lineRule="auto"/>
    </w:pPr>
  </w:style>
  <w:style w:type="character" w:customStyle="1" w:styleId="FooterChar">
    <w:name w:val="Footer Char"/>
    <w:basedOn w:val="DefaultParagraphFont"/>
    <w:link w:val="Footer"/>
    <w:uiPriority w:val="99"/>
    <w:rsid w:val="000C73FA"/>
  </w:style>
  <w:style w:type="character" w:customStyle="1" w:styleId="Heading1Char">
    <w:name w:val="Heading 1 Char"/>
    <w:basedOn w:val="DefaultParagraphFont"/>
    <w:link w:val="Heading1"/>
    <w:uiPriority w:val="9"/>
    <w:rsid w:val="000C73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C73F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C55D7"/>
    <w:rPr>
      <w:color w:val="0563C1" w:themeColor="hyperlink"/>
      <w:u w:val="single"/>
    </w:rPr>
  </w:style>
  <w:style w:type="character" w:customStyle="1" w:styleId="Mencinsinresolver1">
    <w:name w:val="Mención sin resolver1"/>
    <w:basedOn w:val="DefaultParagraphFont"/>
    <w:uiPriority w:val="99"/>
    <w:semiHidden/>
    <w:unhideWhenUsed/>
    <w:rsid w:val="005C55D7"/>
    <w:rPr>
      <w:color w:val="605E5C"/>
      <w:shd w:val="clear" w:color="auto" w:fill="E1DFDD"/>
    </w:rPr>
  </w:style>
  <w:style w:type="paragraph" w:styleId="EndnoteText">
    <w:name w:val="endnote text"/>
    <w:basedOn w:val="Normal"/>
    <w:link w:val="EndnoteTextChar"/>
    <w:uiPriority w:val="99"/>
    <w:unhideWhenUsed/>
    <w:rsid w:val="00CE5A04"/>
    <w:pPr>
      <w:spacing w:line="240" w:lineRule="auto"/>
    </w:pPr>
    <w:rPr>
      <w:sz w:val="20"/>
      <w:szCs w:val="20"/>
    </w:rPr>
  </w:style>
  <w:style w:type="character" w:customStyle="1" w:styleId="EndnoteTextChar">
    <w:name w:val="Endnote Text Char"/>
    <w:basedOn w:val="DefaultParagraphFont"/>
    <w:link w:val="EndnoteText"/>
    <w:uiPriority w:val="99"/>
    <w:rsid w:val="00CE5A04"/>
    <w:rPr>
      <w:sz w:val="20"/>
      <w:szCs w:val="20"/>
    </w:rPr>
  </w:style>
  <w:style w:type="character" w:styleId="EndnoteReference">
    <w:name w:val="endnote reference"/>
    <w:basedOn w:val="DefaultParagraphFont"/>
    <w:uiPriority w:val="99"/>
    <w:semiHidden/>
    <w:unhideWhenUsed/>
    <w:rsid w:val="00CE5A04"/>
    <w:rPr>
      <w:vertAlign w:val="superscript"/>
    </w:rPr>
  </w:style>
  <w:style w:type="paragraph" w:styleId="HTMLPreformatted">
    <w:name w:val="HTML Preformatted"/>
    <w:basedOn w:val="Normal"/>
    <w:link w:val="HTMLPreformattedChar"/>
    <w:uiPriority w:val="99"/>
    <w:semiHidden/>
    <w:unhideWhenUsed/>
    <w:rsid w:val="00FC3862"/>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C3862"/>
    <w:rPr>
      <w:rFonts w:ascii="Consolas" w:hAnsi="Consolas"/>
      <w:sz w:val="20"/>
      <w:szCs w:val="20"/>
    </w:rPr>
  </w:style>
  <w:style w:type="paragraph" w:styleId="ListParagraph">
    <w:name w:val="List Paragraph"/>
    <w:basedOn w:val="Normal"/>
    <w:uiPriority w:val="34"/>
    <w:qFormat/>
    <w:rsid w:val="004D5B70"/>
    <w:pPr>
      <w:ind w:left="720"/>
      <w:contextualSpacing/>
    </w:pPr>
  </w:style>
  <w:style w:type="character" w:styleId="FollowedHyperlink">
    <w:name w:val="FollowedHyperlink"/>
    <w:basedOn w:val="DefaultParagraphFont"/>
    <w:uiPriority w:val="99"/>
    <w:semiHidden/>
    <w:unhideWhenUsed/>
    <w:rsid w:val="00E37D9F"/>
    <w:rPr>
      <w:color w:val="954F72" w:themeColor="followedHyperlink"/>
      <w:u w:val="single"/>
    </w:rPr>
  </w:style>
  <w:style w:type="table" w:styleId="PlainTable4">
    <w:name w:val="Plain Table 4"/>
    <w:basedOn w:val="TableNormal"/>
    <w:uiPriority w:val="44"/>
    <w:rsid w:val="00162AE1"/>
    <w:pPr>
      <w:spacing w:line="240" w:lineRule="auto"/>
    </w:pPr>
    <w:rPr>
      <w:lang w:val="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2609B4"/>
    <w:pPr>
      <w:spacing w:line="240" w:lineRule="auto"/>
      <w:jc w:val="left"/>
    </w:pPr>
    <w:rPr>
      <w:rFonts w:asciiTheme="minorHAnsi" w:hAnsiTheme="minorHAnsi" w:cstheme="minorBidi"/>
      <w:sz w:val="22"/>
      <w:szCs w:val="22"/>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41">
    <w:name w:val="Plain Table 41"/>
    <w:basedOn w:val="TableNormal"/>
    <w:next w:val="PlainTable4"/>
    <w:uiPriority w:val="44"/>
    <w:rsid w:val="00470588"/>
    <w:pPr>
      <w:spacing w:line="240" w:lineRule="auto"/>
    </w:pPr>
    <w:rPr>
      <w:color w:val="212121"/>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70588"/>
    <w:pPr>
      <w:spacing w:line="240" w:lineRule="auto"/>
    </w:pPr>
    <w:rPr>
      <w:color w:val="212121"/>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AE1D56"/>
    <w:pPr>
      <w:spacing w:line="259" w:lineRule="auto"/>
      <w:jc w:val="left"/>
      <w:outlineLvl w:val="9"/>
    </w:pPr>
    <w:rPr>
      <w:lang w:val="en-US"/>
    </w:rPr>
  </w:style>
  <w:style w:type="paragraph" w:styleId="TOC1">
    <w:name w:val="toc 1"/>
    <w:basedOn w:val="Normal"/>
    <w:next w:val="Normal"/>
    <w:autoRedefine/>
    <w:uiPriority w:val="39"/>
    <w:unhideWhenUsed/>
    <w:rsid w:val="00AE1D56"/>
    <w:pPr>
      <w:spacing w:after="100"/>
    </w:pPr>
  </w:style>
  <w:style w:type="paragraph" w:styleId="TOC2">
    <w:name w:val="toc 2"/>
    <w:basedOn w:val="Normal"/>
    <w:next w:val="Normal"/>
    <w:autoRedefine/>
    <w:uiPriority w:val="39"/>
    <w:unhideWhenUsed/>
    <w:rsid w:val="00AE1D56"/>
    <w:pPr>
      <w:spacing w:after="100"/>
      <w:ind w:left="240"/>
    </w:pPr>
  </w:style>
  <w:style w:type="character" w:styleId="UnresolvedMention">
    <w:name w:val="Unresolved Mention"/>
    <w:basedOn w:val="DefaultParagraphFont"/>
    <w:uiPriority w:val="99"/>
    <w:semiHidden/>
    <w:unhideWhenUsed/>
    <w:rsid w:val="006F0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882413">
      <w:bodyDiv w:val="1"/>
      <w:marLeft w:val="0"/>
      <w:marRight w:val="0"/>
      <w:marTop w:val="0"/>
      <w:marBottom w:val="0"/>
      <w:divBdr>
        <w:top w:val="none" w:sz="0" w:space="0" w:color="auto"/>
        <w:left w:val="none" w:sz="0" w:space="0" w:color="auto"/>
        <w:bottom w:val="none" w:sz="0" w:space="0" w:color="auto"/>
        <w:right w:val="none" w:sz="0" w:space="0" w:color="auto"/>
      </w:divBdr>
      <w:divsChild>
        <w:div w:id="1805468308">
          <w:marLeft w:val="0"/>
          <w:marRight w:val="0"/>
          <w:marTop w:val="0"/>
          <w:marBottom w:val="0"/>
          <w:divBdr>
            <w:top w:val="none" w:sz="0" w:space="0" w:color="auto"/>
            <w:left w:val="none" w:sz="0" w:space="0" w:color="auto"/>
            <w:bottom w:val="none" w:sz="0" w:space="0" w:color="auto"/>
            <w:right w:val="none" w:sz="0" w:space="0" w:color="auto"/>
          </w:divBdr>
          <w:divsChild>
            <w:div w:id="585386886">
              <w:marLeft w:val="0"/>
              <w:marRight w:val="0"/>
              <w:marTop w:val="0"/>
              <w:marBottom w:val="0"/>
              <w:divBdr>
                <w:top w:val="none" w:sz="0" w:space="0" w:color="auto"/>
                <w:left w:val="none" w:sz="0" w:space="0" w:color="auto"/>
                <w:bottom w:val="none" w:sz="0" w:space="0" w:color="auto"/>
                <w:right w:val="none" w:sz="0" w:space="0" w:color="auto"/>
              </w:divBdr>
              <w:divsChild>
                <w:div w:id="96024954">
                  <w:marLeft w:val="0"/>
                  <w:marRight w:val="0"/>
                  <w:marTop w:val="0"/>
                  <w:marBottom w:val="0"/>
                  <w:divBdr>
                    <w:top w:val="none" w:sz="0" w:space="0" w:color="auto"/>
                    <w:left w:val="none" w:sz="0" w:space="0" w:color="auto"/>
                    <w:bottom w:val="none" w:sz="0" w:space="0" w:color="auto"/>
                    <w:right w:val="none" w:sz="0" w:space="0" w:color="auto"/>
                  </w:divBdr>
                  <w:divsChild>
                    <w:div w:id="484589909">
                      <w:marLeft w:val="0"/>
                      <w:marRight w:val="0"/>
                      <w:marTop w:val="0"/>
                      <w:marBottom w:val="0"/>
                      <w:divBdr>
                        <w:top w:val="none" w:sz="0" w:space="0" w:color="auto"/>
                        <w:left w:val="none" w:sz="0" w:space="0" w:color="auto"/>
                        <w:bottom w:val="none" w:sz="0" w:space="0" w:color="auto"/>
                        <w:right w:val="none" w:sz="0" w:space="0" w:color="auto"/>
                      </w:divBdr>
                      <w:divsChild>
                        <w:div w:id="1624997501">
                          <w:marLeft w:val="0"/>
                          <w:marRight w:val="0"/>
                          <w:marTop w:val="0"/>
                          <w:marBottom w:val="0"/>
                          <w:divBdr>
                            <w:top w:val="none" w:sz="0" w:space="0" w:color="auto"/>
                            <w:left w:val="none" w:sz="0" w:space="0" w:color="auto"/>
                            <w:bottom w:val="none" w:sz="0" w:space="0" w:color="auto"/>
                            <w:right w:val="none" w:sz="0" w:space="0" w:color="auto"/>
                          </w:divBdr>
                          <w:divsChild>
                            <w:div w:id="278336075">
                              <w:marLeft w:val="0"/>
                              <w:marRight w:val="0"/>
                              <w:marTop w:val="0"/>
                              <w:marBottom w:val="0"/>
                              <w:divBdr>
                                <w:top w:val="none" w:sz="0" w:space="0" w:color="auto"/>
                                <w:left w:val="none" w:sz="0" w:space="0" w:color="auto"/>
                                <w:bottom w:val="none" w:sz="0" w:space="0" w:color="auto"/>
                                <w:right w:val="none" w:sz="0" w:space="0" w:color="auto"/>
                              </w:divBdr>
                              <w:divsChild>
                                <w:div w:id="2051880360">
                                  <w:marLeft w:val="0"/>
                                  <w:marRight w:val="0"/>
                                  <w:marTop w:val="0"/>
                                  <w:marBottom w:val="0"/>
                                  <w:divBdr>
                                    <w:top w:val="none" w:sz="0" w:space="0" w:color="auto"/>
                                    <w:left w:val="none" w:sz="0" w:space="0" w:color="auto"/>
                                    <w:bottom w:val="none" w:sz="0" w:space="0" w:color="auto"/>
                                    <w:right w:val="none" w:sz="0" w:space="0" w:color="auto"/>
                                  </w:divBdr>
                                  <w:divsChild>
                                    <w:div w:id="1845390605">
                                      <w:marLeft w:val="0"/>
                                      <w:marRight w:val="0"/>
                                      <w:marTop w:val="0"/>
                                      <w:marBottom w:val="0"/>
                                      <w:divBdr>
                                        <w:top w:val="none" w:sz="0" w:space="0" w:color="auto"/>
                                        <w:left w:val="none" w:sz="0" w:space="0" w:color="auto"/>
                                        <w:bottom w:val="none" w:sz="0" w:space="0" w:color="auto"/>
                                        <w:right w:val="none" w:sz="0" w:space="0" w:color="auto"/>
                                      </w:divBdr>
                                    </w:div>
                                    <w:div w:id="549651516">
                                      <w:marLeft w:val="0"/>
                                      <w:marRight w:val="0"/>
                                      <w:marTop w:val="0"/>
                                      <w:marBottom w:val="0"/>
                                      <w:divBdr>
                                        <w:top w:val="none" w:sz="0" w:space="0" w:color="auto"/>
                                        <w:left w:val="none" w:sz="0" w:space="0" w:color="auto"/>
                                        <w:bottom w:val="none" w:sz="0" w:space="0" w:color="auto"/>
                                        <w:right w:val="none" w:sz="0" w:space="0" w:color="auto"/>
                                      </w:divBdr>
                                      <w:divsChild>
                                        <w:div w:id="886719310">
                                          <w:marLeft w:val="0"/>
                                          <w:marRight w:val="165"/>
                                          <w:marTop w:val="150"/>
                                          <w:marBottom w:val="0"/>
                                          <w:divBdr>
                                            <w:top w:val="none" w:sz="0" w:space="0" w:color="auto"/>
                                            <w:left w:val="none" w:sz="0" w:space="0" w:color="auto"/>
                                            <w:bottom w:val="none" w:sz="0" w:space="0" w:color="auto"/>
                                            <w:right w:val="none" w:sz="0" w:space="0" w:color="auto"/>
                                          </w:divBdr>
                                          <w:divsChild>
                                            <w:div w:id="563758229">
                                              <w:marLeft w:val="0"/>
                                              <w:marRight w:val="0"/>
                                              <w:marTop w:val="0"/>
                                              <w:marBottom w:val="0"/>
                                              <w:divBdr>
                                                <w:top w:val="none" w:sz="0" w:space="0" w:color="auto"/>
                                                <w:left w:val="none" w:sz="0" w:space="0" w:color="auto"/>
                                                <w:bottom w:val="none" w:sz="0" w:space="0" w:color="auto"/>
                                                <w:right w:val="none" w:sz="0" w:space="0" w:color="auto"/>
                                              </w:divBdr>
                                              <w:divsChild>
                                                <w:div w:id="9305052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398503">
      <w:bodyDiv w:val="1"/>
      <w:marLeft w:val="0"/>
      <w:marRight w:val="0"/>
      <w:marTop w:val="0"/>
      <w:marBottom w:val="0"/>
      <w:divBdr>
        <w:top w:val="none" w:sz="0" w:space="0" w:color="auto"/>
        <w:left w:val="none" w:sz="0" w:space="0" w:color="auto"/>
        <w:bottom w:val="none" w:sz="0" w:space="0" w:color="auto"/>
        <w:right w:val="none" w:sz="0" w:space="0" w:color="auto"/>
      </w:divBdr>
    </w:div>
    <w:div w:id="2092118585">
      <w:bodyDiv w:val="1"/>
      <w:marLeft w:val="0"/>
      <w:marRight w:val="0"/>
      <w:marTop w:val="0"/>
      <w:marBottom w:val="0"/>
      <w:divBdr>
        <w:top w:val="none" w:sz="0" w:space="0" w:color="auto"/>
        <w:left w:val="none" w:sz="0" w:space="0" w:color="auto"/>
        <w:bottom w:val="none" w:sz="0" w:space="0" w:color="auto"/>
        <w:right w:val="none" w:sz="0" w:space="0" w:color="auto"/>
      </w:divBdr>
    </w:div>
    <w:div w:id="2115394846">
      <w:bodyDiv w:val="1"/>
      <w:marLeft w:val="0"/>
      <w:marRight w:val="0"/>
      <w:marTop w:val="0"/>
      <w:marBottom w:val="0"/>
      <w:divBdr>
        <w:top w:val="none" w:sz="0" w:space="0" w:color="auto"/>
        <w:left w:val="none" w:sz="0" w:space="0" w:color="auto"/>
        <w:bottom w:val="none" w:sz="0" w:space="0" w:color="auto"/>
        <w:right w:val="none" w:sz="0" w:space="0" w:color="auto"/>
      </w:divBdr>
      <w:divsChild>
        <w:div w:id="961879952">
          <w:marLeft w:val="0"/>
          <w:marRight w:val="0"/>
          <w:marTop w:val="0"/>
          <w:marBottom w:val="0"/>
          <w:divBdr>
            <w:top w:val="none" w:sz="0" w:space="0" w:color="auto"/>
            <w:left w:val="none" w:sz="0" w:space="0" w:color="auto"/>
            <w:bottom w:val="none" w:sz="0" w:space="0" w:color="auto"/>
            <w:right w:val="none" w:sz="0" w:space="0" w:color="auto"/>
          </w:divBdr>
          <w:divsChild>
            <w:div w:id="2036728860">
              <w:marLeft w:val="0"/>
              <w:marRight w:val="0"/>
              <w:marTop w:val="0"/>
              <w:marBottom w:val="0"/>
              <w:divBdr>
                <w:top w:val="none" w:sz="0" w:space="0" w:color="auto"/>
                <w:left w:val="none" w:sz="0" w:space="0" w:color="auto"/>
                <w:bottom w:val="none" w:sz="0" w:space="0" w:color="auto"/>
                <w:right w:val="none" w:sz="0" w:space="0" w:color="auto"/>
              </w:divBdr>
              <w:divsChild>
                <w:div w:id="983464428">
                  <w:marLeft w:val="0"/>
                  <w:marRight w:val="0"/>
                  <w:marTop w:val="0"/>
                  <w:marBottom w:val="0"/>
                  <w:divBdr>
                    <w:top w:val="none" w:sz="0" w:space="0" w:color="auto"/>
                    <w:left w:val="none" w:sz="0" w:space="0" w:color="auto"/>
                    <w:bottom w:val="none" w:sz="0" w:space="0" w:color="auto"/>
                    <w:right w:val="none" w:sz="0" w:space="0" w:color="auto"/>
                  </w:divBdr>
                  <w:divsChild>
                    <w:div w:id="1172067258">
                      <w:marLeft w:val="0"/>
                      <w:marRight w:val="0"/>
                      <w:marTop w:val="0"/>
                      <w:marBottom w:val="0"/>
                      <w:divBdr>
                        <w:top w:val="none" w:sz="0" w:space="0" w:color="auto"/>
                        <w:left w:val="none" w:sz="0" w:space="0" w:color="auto"/>
                        <w:bottom w:val="none" w:sz="0" w:space="0" w:color="auto"/>
                        <w:right w:val="none" w:sz="0" w:space="0" w:color="auto"/>
                      </w:divBdr>
                      <w:divsChild>
                        <w:div w:id="2073696646">
                          <w:marLeft w:val="0"/>
                          <w:marRight w:val="0"/>
                          <w:marTop w:val="0"/>
                          <w:marBottom w:val="0"/>
                          <w:divBdr>
                            <w:top w:val="none" w:sz="0" w:space="0" w:color="auto"/>
                            <w:left w:val="none" w:sz="0" w:space="0" w:color="auto"/>
                            <w:bottom w:val="none" w:sz="0" w:space="0" w:color="auto"/>
                            <w:right w:val="none" w:sz="0" w:space="0" w:color="auto"/>
                          </w:divBdr>
                          <w:divsChild>
                            <w:div w:id="1992908349">
                              <w:marLeft w:val="0"/>
                              <w:marRight w:val="0"/>
                              <w:marTop w:val="0"/>
                              <w:marBottom w:val="0"/>
                              <w:divBdr>
                                <w:top w:val="none" w:sz="0" w:space="0" w:color="auto"/>
                                <w:left w:val="none" w:sz="0" w:space="0" w:color="auto"/>
                                <w:bottom w:val="none" w:sz="0" w:space="0" w:color="auto"/>
                                <w:right w:val="none" w:sz="0" w:space="0" w:color="auto"/>
                              </w:divBdr>
                              <w:divsChild>
                                <w:div w:id="1782071016">
                                  <w:marLeft w:val="0"/>
                                  <w:marRight w:val="0"/>
                                  <w:marTop w:val="0"/>
                                  <w:marBottom w:val="0"/>
                                  <w:divBdr>
                                    <w:top w:val="none" w:sz="0" w:space="0" w:color="auto"/>
                                    <w:left w:val="none" w:sz="0" w:space="0" w:color="auto"/>
                                    <w:bottom w:val="none" w:sz="0" w:space="0" w:color="auto"/>
                                    <w:right w:val="none" w:sz="0" w:space="0" w:color="auto"/>
                                  </w:divBdr>
                                  <w:divsChild>
                                    <w:div w:id="1338196951">
                                      <w:marLeft w:val="0"/>
                                      <w:marRight w:val="0"/>
                                      <w:marTop w:val="0"/>
                                      <w:marBottom w:val="0"/>
                                      <w:divBdr>
                                        <w:top w:val="none" w:sz="0" w:space="0" w:color="auto"/>
                                        <w:left w:val="none" w:sz="0" w:space="0" w:color="auto"/>
                                        <w:bottom w:val="none" w:sz="0" w:space="0" w:color="auto"/>
                                        <w:right w:val="none" w:sz="0" w:space="0" w:color="auto"/>
                                      </w:divBdr>
                                    </w:div>
                                    <w:div w:id="743452144">
                                      <w:marLeft w:val="0"/>
                                      <w:marRight w:val="0"/>
                                      <w:marTop w:val="0"/>
                                      <w:marBottom w:val="0"/>
                                      <w:divBdr>
                                        <w:top w:val="none" w:sz="0" w:space="0" w:color="auto"/>
                                        <w:left w:val="none" w:sz="0" w:space="0" w:color="auto"/>
                                        <w:bottom w:val="none" w:sz="0" w:space="0" w:color="auto"/>
                                        <w:right w:val="none" w:sz="0" w:space="0" w:color="auto"/>
                                      </w:divBdr>
                                      <w:divsChild>
                                        <w:div w:id="1385837189">
                                          <w:marLeft w:val="0"/>
                                          <w:marRight w:val="165"/>
                                          <w:marTop w:val="150"/>
                                          <w:marBottom w:val="0"/>
                                          <w:divBdr>
                                            <w:top w:val="none" w:sz="0" w:space="0" w:color="auto"/>
                                            <w:left w:val="none" w:sz="0" w:space="0" w:color="auto"/>
                                            <w:bottom w:val="none" w:sz="0" w:space="0" w:color="auto"/>
                                            <w:right w:val="none" w:sz="0" w:space="0" w:color="auto"/>
                                          </w:divBdr>
                                          <w:divsChild>
                                            <w:div w:id="772090568">
                                              <w:marLeft w:val="0"/>
                                              <w:marRight w:val="0"/>
                                              <w:marTop w:val="0"/>
                                              <w:marBottom w:val="0"/>
                                              <w:divBdr>
                                                <w:top w:val="none" w:sz="0" w:space="0" w:color="auto"/>
                                                <w:left w:val="none" w:sz="0" w:space="0" w:color="auto"/>
                                                <w:bottom w:val="none" w:sz="0" w:space="0" w:color="auto"/>
                                                <w:right w:val="none" w:sz="0" w:space="0" w:color="auto"/>
                                              </w:divBdr>
                                              <w:divsChild>
                                                <w:div w:id="8653674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1795067">
      <w:bodyDiv w:val="1"/>
      <w:marLeft w:val="0"/>
      <w:marRight w:val="0"/>
      <w:marTop w:val="0"/>
      <w:marBottom w:val="0"/>
      <w:divBdr>
        <w:top w:val="none" w:sz="0" w:space="0" w:color="auto"/>
        <w:left w:val="none" w:sz="0" w:space="0" w:color="auto"/>
        <w:bottom w:val="none" w:sz="0" w:space="0" w:color="auto"/>
        <w:right w:val="none" w:sz="0" w:space="0" w:color="auto"/>
      </w:divBdr>
      <w:divsChild>
        <w:div w:id="1325625007">
          <w:marLeft w:val="0"/>
          <w:marRight w:val="0"/>
          <w:marTop w:val="0"/>
          <w:marBottom w:val="0"/>
          <w:divBdr>
            <w:top w:val="none" w:sz="0" w:space="0" w:color="auto"/>
            <w:left w:val="none" w:sz="0" w:space="0" w:color="auto"/>
            <w:bottom w:val="none" w:sz="0" w:space="0" w:color="auto"/>
            <w:right w:val="none" w:sz="0" w:space="0" w:color="auto"/>
          </w:divBdr>
          <w:divsChild>
            <w:div w:id="194538912">
              <w:marLeft w:val="0"/>
              <w:marRight w:val="0"/>
              <w:marTop w:val="0"/>
              <w:marBottom w:val="0"/>
              <w:divBdr>
                <w:top w:val="none" w:sz="0" w:space="0" w:color="auto"/>
                <w:left w:val="none" w:sz="0" w:space="0" w:color="auto"/>
                <w:bottom w:val="none" w:sz="0" w:space="0" w:color="auto"/>
                <w:right w:val="none" w:sz="0" w:space="0" w:color="auto"/>
              </w:divBdr>
            </w:div>
          </w:divsChild>
        </w:div>
        <w:div w:id="646322647">
          <w:marLeft w:val="0"/>
          <w:marRight w:val="0"/>
          <w:marTop w:val="0"/>
          <w:marBottom w:val="0"/>
          <w:divBdr>
            <w:top w:val="none" w:sz="0" w:space="0" w:color="auto"/>
            <w:left w:val="none" w:sz="0" w:space="0" w:color="auto"/>
            <w:bottom w:val="none" w:sz="0" w:space="0" w:color="auto"/>
            <w:right w:val="none" w:sz="0" w:space="0" w:color="auto"/>
          </w:divBdr>
          <w:divsChild>
            <w:div w:id="929195813">
              <w:marLeft w:val="0"/>
              <w:marRight w:val="0"/>
              <w:marTop w:val="0"/>
              <w:marBottom w:val="0"/>
              <w:divBdr>
                <w:top w:val="none" w:sz="0" w:space="0" w:color="auto"/>
                <w:left w:val="none" w:sz="0" w:space="0" w:color="auto"/>
                <w:bottom w:val="none" w:sz="0" w:space="0" w:color="auto"/>
                <w:right w:val="none" w:sz="0" w:space="0" w:color="auto"/>
              </w:divBdr>
            </w:div>
          </w:divsChild>
        </w:div>
        <w:div w:id="342975738">
          <w:marLeft w:val="0"/>
          <w:marRight w:val="0"/>
          <w:marTop w:val="0"/>
          <w:marBottom w:val="0"/>
          <w:divBdr>
            <w:top w:val="none" w:sz="0" w:space="0" w:color="auto"/>
            <w:left w:val="none" w:sz="0" w:space="0" w:color="auto"/>
            <w:bottom w:val="none" w:sz="0" w:space="0" w:color="auto"/>
            <w:right w:val="none" w:sz="0" w:space="0" w:color="auto"/>
          </w:divBdr>
          <w:divsChild>
            <w:div w:id="4603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rie.dds.nl/calcss.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s://files.sld.cu/dne/files/2023/10/Anuario-Estadistico-de-Salud-2022-Ed-20231.pdf" TargetMode="External"/><Relationship Id="rId13" Type="http://schemas.openxmlformats.org/officeDocument/2006/relationships/hyperlink" Target="https://link.springer.com/content/pdf/10.1186/s12889-020-8267-y.pdf" TargetMode="External"/><Relationship Id="rId18" Type="http://schemas.openxmlformats.org/officeDocument/2006/relationships/hyperlink" Target="https://diabetesjournals.org/care/article-lookup/doi/10.2337/dc20-S011" TargetMode="External"/><Relationship Id="rId26" Type="http://schemas.openxmlformats.org/officeDocument/2006/relationships/hyperlink" Target="https://diabetesjournals.org/diabetes/article/69/5/1000/39585/Risk-Factors-for-Diabetic-Peripheral-Neuropathy" TargetMode="External"/><Relationship Id="rId39" Type="http://schemas.openxmlformats.org/officeDocument/2006/relationships/hyperlink" Target="http://www.wma.net/es/policies-post/declaracion-de-helsinki-de-la-amm-principios-eticos-para-las-investigaciones-medicas-en-seres-humanos/" TargetMode="External"/><Relationship Id="rId3" Type="http://schemas.openxmlformats.org/officeDocument/2006/relationships/hyperlink" Target="https://www.scielosp.org/pdf/rcsp/2018.v44n3/e1127/es" TargetMode="External"/><Relationship Id="rId21" Type="http://schemas.openxmlformats.org/officeDocument/2006/relationships/hyperlink" Target="http://scielo.sld.cu/pdf/san/v26n4/1029-3019-san-26-04-e3855.pdf" TargetMode="External"/><Relationship Id="rId34" Type="http://schemas.openxmlformats.org/officeDocument/2006/relationships/hyperlink" Target="https://revcmpinar.sld.cu/index.php/publicaciones/article/view/6179" TargetMode="External"/><Relationship Id="rId7" Type="http://schemas.openxmlformats.org/officeDocument/2006/relationships/hyperlink" Target="http://www.revsaludpublica.sld.cu/index.php/spu/article/view/3375/1843" TargetMode="External"/><Relationship Id="rId12" Type="http://schemas.openxmlformats.org/officeDocument/2006/relationships/hyperlink" Target="https://www.ncbi.nlm.nih.gov/pmc/articles/PMC7911433/pdf/diagnostics-11-00165.pdf" TargetMode="External"/><Relationship Id="rId17" Type="http://schemas.openxmlformats.org/officeDocument/2006/relationships/hyperlink" Target="https://www.ncbi.nlm.nih.gov/pmc/articles/PMC5652329/pdf/nihms910513.pdf" TargetMode="External"/><Relationship Id="rId25" Type="http://schemas.openxmlformats.org/officeDocument/2006/relationships/hyperlink" Target="https://www.ncbi.nlm.nih.gov/pmc/articles/PMC3868000/" TargetMode="External"/><Relationship Id="rId33" Type="http://schemas.openxmlformats.org/officeDocument/2006/relationships/hyperlink" Target="https://scholar.google.es/scholar?cluster=8295961436098634997&amp;hl=es&amp;as_sdt=0,5&amp;as_ylo=2020" TargetMode="External"/><Relationship Id="rId38" Type="http://schemas.openxmlformats.org/officeDocument/2006/relationships/hyperlink" Target="https://onlinelibrary.wiley.com/doi/abs/10.1046/j.1464-5491.2002.00819.x" TargetMode="External"/><Relationship Id="rId2" Type="http://schemas.openxmlformats.org/officeDocument/2006/relationships/hyperlink" Target="https://www.researchgate.net/profile/Donelia-Gamez-Sanchez/publication/337720183_Estado_actual_de_la_Mortalidad_por_Diabetes_Mellitus_en_el_mundo_y_en_Cuba/links/5de6c17b299bf10bc33d543a/Estado-actual-de-la-Mortalidad-por-Diabetes-Mellitus-en-el-mundo-y-en-Cuba.pdf" TargetMode="External"/><Relationship Id="rId16" Type="http://schemas.openxmlformats.org/officeDocument/2006/relationships/hyperlink" Target="https://www.ncbi.nlm.nih.gov/pmc/articles/PMC7516333/pdf/CDR-16-220.pdf" TargetMode="External"/><Relationship Id="rId20" Type="http://schemas.openxmlformats.org/officeDocument/2006/relationships/hyperlink" Target="https://www.researchgate.net/publication/349058750_La_neuropatia_diabetica_desde_un_enfoque_fisiopatologico_actualizado" TargetMode="External"/><Relationship Id="rId29" Type="http://schemas.openxmlformats.org/officeDocument/2006/relationships/hyperlink" Target="https://diabetesjournals.org/care/article/43/4/734/35732/Diabetic-Neuropathy-Is-a-Substantial-Burden-in" TargetMode="External"/><Relationship Id="rId1" Type="http://schemas.openxmlformats.org/officeDocument/2006/relationships/hyperlink" Target="https://remij.sld.cu/index.php/remij/article/view/291" TargetMode="External"/><Relationship Id="rId6" Type="http://schemas.openxmlformats.org/officeDocument/2006/relationships/hyperlink" Target="https://link.springer.com/article/10.1007/s40258-018-0398-2" TargetMode="External"/><Relationship Id="rId11" Type="http://schemas.openxmlformats.org/officeDocument/2006/relationships/hyperlink" Target="https://www.medigraphic.com/pdfs/infodir/ifd-2020/ifd2033s.pdf" TargetMode="External"/><Relationship Id="rId24" Type="http://schemas.openxmlformats.org/officeDocument/2006/relationships/hyperlink" Target="https://www.revistabionatura.com/files/2018.03.02.9.pdf" TargetMode="External"/><Relationship Id="rId32" Type="http://schemas.openxmlformats.org/officeDocument/2006/relationships/hyperlink" Target="https://convencionsalud.sld.cu/index.php/convencionsalud22/2022/paper/viewFile/1965/851" TargetMode="External"/><Relationship Id="rId37" Type="http://schemas.openxmlformats.org/officeDocument/2006/relationships/hyperlink" Target="http://www.medicentro.sld.cu/index.php/medicentro/article/view/3498/2932" TargetMode="External"/><Relationship Id="rId5" Type="http://schemas.openxmlformats.org/officeDocument/2006/relationships/hyperlink" Target="https://diabetesatlas.org/upload/resources/material/20200302_133352_2406-IDF-ATLAS-SPAN-BOOK.pdf" TargetMode="External"/><Relationship Id="rId15" Type="http://schemas.openxmlformats.org/officeDocument/2006/relationships/hyperlink" Target="https://www.ncbi.nlm.nih.gov/pmc/articles/PMC6590177/pdf/DMRR-35-na.pdf" TargetMode="External"/><Relationship Id="rId23" Type="http://schemas.openxmlformats.org/officeDocument/2006/relationships/hyperlink" Target="https://www.ncbi.nlm.nih.gov/pmc/articles/PMC6107364/" TargetMode="External"/><Relationship Id="rId28" Type="http://schemas.openxmlformats.org/officeDocument/2006/relationships/hyperlink" Target="https://www.ncbi.nlm.nih.gov/pmc/articles/PMC7085805/" TargetMode="External"/><Relationship Id="rId36" Type="http://schemas.openxmlformats.org/officeDocument/2006/relationships/hyperlink" Target="http://scielo.sld.cu/pdf/san/v25n2/1029-3019-san-25-02-388.pdf" TargetMode="External"/><Relationship Id="rId10" Type="http://schemas.openxmlformats.org/officeDocument/2006/relationships/hyperlink" Target="https://www.scielosp.org/pdf/rpsp/2018.v42/e21/es" TargetMode="External"/><Relationship Id="rId19" Type="http://schemas.openxmlformats.org/officeDocument/2006/relationships/hyperlink" Target="http://scielo.sld.cu/scielo.php?script=sci_arttext&amp;pid=S0864-21252023000200013&amp;lng=es" TargetMode="External"/><Relationship Id="rId31" Type="http://schemas.openxmlformats.org/officeDocument/2006/relationships/hyperlink" Target="https://www.medigraphic.com/pdfs/medisan/mds-2020/mds206h.pdf" TargetMode="External"/><Relationship Id="rId4" Type="http://schemas.openxmlformats.org/officeDocument/2006/relationships/hyperlink" Target="http://diposit.ub.edu/dspace/bitstream/2445/123174/1/673051.pdf" TargetMode="External"/><Relationship Id="rId9" Type="http://schemas.openxmlformats.org/officeDocument/2006/relationships/hyperlink" Target="https://www.medigraphic.com/pdfs/revcubmed/cm-2019/cm194a.pdf" TargetMode="External"/><Relationship Id="rId14" Type="http://schemas.openxmlformats.org/officeDocument/2006/relationships/hyperlink" Target="https://www.ncbi.nlm.nih.gov/pmc/articles/PMC5776687/pdf/nihms922546.pdf" TargetMode="External"/><Relationship Id="rId22" Type="http://schemas.openxmlformats.org/officeDocument/2006/relationships/hyperlink" Target="https://www.nature.com/articles/s41572-019-0092-1" TargetMode="External"/><Relationship Id="rId27" Type="http://schemas.openxmlformats.org/officeDocument/2006/relationships/hyperlink" Target="https://pubmed.ncbi.nlm.nih.gov/8933008/" TargetMode="External"/><Relationship Id="rId30" Type="http://schemas.openxmlformats.org/officeDocument/2006/relationships/hyperlink" Target="https://linkinghub.elsevier.com/retrieve/pii/S0168-8227(20)30485-X" TargetMode="External"/><Relationship Id="rId35" Type="http://schemas.openxmlformats.org/officeDocument/2006/relationships/hyperlink" Target="https://dmsjournal.biomedcentral.com/articles/10.1186/s13098-018-03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file>

<file path=customXml/itemProps1.xml><?xml version="1.0" encoding="utf-8"?>
<ds:datastoreItem xmlns:ds="http://schemas.openxmlformats.org/officeDocument/2006/customXml" ds:itemID="{85BEDCDA-B2B1-43D1-ABC4-577F5657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45</Pages>
  <Words>7351</Words>
  <Characters>40436</Characters>
  <Application>Microsoft Office Word</Application>
  <DocSecurity>0</DocSecurity>
  <Lines>336</Lines>
  <Paragraphs>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Myder</dc:creator>
  <cp:keywords/>
  <dc:description/>
  <cp:lastModifiedBy>Myder</cp:lastModifiedBy>
  <cp:revision>130</cp:revision>
  <dcterms:created xsi:type="dcterms:W3CDTF">2024-09-10T17:24:00Z</dcterms:created>
  <dcterms:modified xsi:type="dcterms:W3CDTF">2024-10-02T02:27:00Z</dcterms:modified>
</cp:coreProperties>
</file>